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7E" w:rsidRDefault="0063647E" w:rsidP="0063647E">
      <w:pPr>
        <w:jc w:val="center"/>
        <w:rPr>
          <w:sz w:val="32"/>
          <w:szCs w:val="32"/>
        </w:rPr>
      </w:pPr>
      <w:bookmarkStart w:id="0" w:name="_GoBack"/>
      <w:bookmarkEnd w:id="0"/>
      <w:r>
        <w:rPr>
          <w:noProof/>
          <w:sz w:val="32"/>
          <w:szCs w:val="32"/>
          <w:lang w:val="en-ZA" w:eastAsia="en-ZA"/>
        </w:rPr>
        <w:drawing>
          <wp:inline distT="0" distB="0" distL="0" distR="0" wp14:anchorId="1FF04C7B" wp14:editId="60B2C739">
            <wp:extent cx="4959096" cy="41818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sta logo 1627 x 13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9096" cy="4181856"/>
                    </a:xfrm>
                    <a:prstGeom prst="rect">
                      <a:avLst/>
                    </a:prstGeom>
                  </pic:spPr>
                </pic:pic>
              </a:graphicData>
            </a:graphic>
          </wp:inline>
        </w:drawing>
      </w:r>
    </w:p>
    <w:p w:rsidR="0063647E" w:rsidRPr="0063647E" w:rsidRDefault="0063647E" w:rsidP="0063647E">
      <w:pPr>
        <w:jc w:val="center"/>
        <w:rPr>
          <w:sz w:val="36"/>
          <w:szCs w:val="36"/>
        </w:rPr>
      </w:pPr>
    </w:p>
    <w:p w:rsidR="0063647E" w:rsidRPr="0063647E" w:rsidRDefault="0063647E" w:rsidP="0063647E">
      <w:pPr>
        <w:spacing w:line="360" w:lineRule="auto"/>
        <w:jc w:val="center"/>
        <w:rPr>
          <w:sz w:val="36"/>
          <w:szCs w:val="36"/>
        </w:rPr>
      </w:pPr>
      <w:r w:rsidRPr="0063647E">
        <w:rPr>
          <w:sz w:val="36"/>
          <w:szCs w:val="36"/>
        </w:rPr>
        <w:t>THE SCOA ICF PRESENTATION PAPER</w:t>
      </w:r>
    </w:p>
    <w:p w:rsidR="0063647E" w:rsidRPr="0063647E" w:rsidRDefault="0063647E" w:rsidP="0063647E">
      <w:pPr>
        <w:jc w:val="center"/>
        <w:rPr>
          <w:i/>
          <w:sz w:val="28"/>
          <w:szCs w:val="28"/>
        </w:rPr>
      </w:pPr>
      <w:r w:rsidRPr="0063647E">
        <w:rPr>
          <w:i/>
          <w:sz w:val="28"/>
          <w:szCs w:val="28"/>
        </w:rPr>
        <w:t>2014-09-18</w:t>
      </w:r>
      <w:r w:rsidRPr="0063647E">
        <w:rPr>
          <w:i/>
          <w:sz w:val="28"/>
          <w:szCs w:val="28"/>
        </w:rPr>
        <w:br w:type="page"/>
      </w:r>
    </w:p>
    <w:p w:rsidR="00FA1856" w:rsidRPr="00FA1856" w:rsidRDefault="00FA1856" w:rsidP="00DE5ACA">
      <w:pPr>
        <w:spacing w:line="360" w:lineRule="auto"/>
        <w:rPr>
          <w:b/>
        </w:rPr>
      </w:pPr>
      <w:r w:rsidRPr="00FA1856">
        <w:rPr>
          <w:b/>
        </w:rPr>
        <w:lastRenderedPageBreak/>
        <w:t>KEY OBSERVATIONS &amp; FINDINGS</w:t>
      </w:r>
    </w:p>
    <w:p w:rsidR="00013F5A" w:rsidRDefault="00FA1856" w:rsidP="00DE5ACA">
      <w:pPr>
        <w:spacing w:line="360" w:lineRule="auto"/>
      </w:pPr>
      <w:r>
        <w:t>Our</w:t>
      </w:r>
      <w:r w:rsidR="00DE5ACA">
        <w:t xml:space="preserve"> </w:t>
      </w:r>
      <w:r w:rsidR="00013F5A">
        <w:t>understanding of the</w:t>
      </w:r>
      <w:r w:rsidR="00DE5ACA">
        <w:t xml:space="preserve"> </w:t>
      </w:r>
      <w:r w:rsidR="00013F5A">
        <w:t>objectives of SCOA is to:</w:t>
      </w:r>
    </w:p>
    <w:p w:rsidR="00013F5A" w:rsidRDefault="00013F5A" w:rsidP="00DE5ACA">
      <w:pPr>
        <w:pStyle w:val="ListParagraph"/>
        <w:numPr>
          <w:ilvl w:val="0"/>
          <w:numId w:val="3"/>
        </w:numPr>
        <w:spacing w:line="360" w:lineRule="auto"/>
      </w:pPr>
      <w:r>
        <w:t>Standardize the C</w:t>
      </w:r>
      <w:r w:rsidR="00FA1856">
        <w:t xml:space="preserve">hart of Accounts </w:t>
      </w:r>
      <w:r>
        <w:t>across all spheres of government</w:t>
      </w:r>
    </w:p>
    <w:p w:rsidR="00013F5A" w:rsidRDefault="00013F5A" w:rsidP="00DE5ACA">
      <w:pPr>
        <w:pStyle w:val="ListParagraph"/>
        <w:numPr>
          <w:ilvl w:val="0"/>
          <w:numId w:val="3"/>
        </w:numPr>
        <w:spacing w:line="360" w:lineRule="auto"/>
      </w:pPr>
      <w:r>
        <w:t>Improve financial reporting and transparency</w:t>
      </w:r>
    </w:p>
    <w:p w:rsidR="00013F5A" w:rsidRDefault="00013F5A" w:rsidP="00DE5ACA">
      <w:pPr>
        <w:pStyle w:val="ListParagraph"/>
        <w:numPr>
          <w:ilvl w:val="0"/>
          <w:numId w:val="3"/>
        </w:numPr>
        <w:spacing w:line="360" w:lineRule="auto"/>
      </w:pPr>
      <w:r>
        <w:t xml:space="preserve">Enhance financial </w:t>
      </w:r>
      <w:r w:rsidR="00FA1856">
        <w:t xml:space="preserve">management, </w:t>
      </w:r>
      <w:r>
        <w:t>control &amp; accountability</w:t>
      </w:r>
    </w:p>
    <w:p w:rsidR="00013F5A" w:rsidRDefault="00FA1856" w:rsidP="00DE5ACA">
      <w:pPr>
        <w:pStyle w:val="ListParagraph"/>
        <w:numPr>
          <w:ilvl w:val="0"/>
          <w:numId w:val="3"/>
        </w:numPr>
        <w:spacing w:line="360" w:lineRule="auto"/>
      </w:pPr>
      <w:r>
        <w:t xml:space="preserve">Reinforce &amp; enhance </w:t>
      </w:r>
      <w:r w:rsidR="002A3429">
        <w:t xml:space="preserve">accounting standards </w:t>
      </w:r>
      <w:r w:rsidR="00013F5A">
        <w:t>and best practices</w:t>
      </w:r>
    </w:p>
    <w:p w:rsidR="00013F5A" w:rsidRDefault="00B23EED" w:rsidP="00DE5ACA">
      <w:pPr>
        <w:pStyle w:val="ListParagraph"/>
        <w:numPr>
          <w:ilvl w:val="0"/>
          <w:numId w:val="3"/>
        </w:numPr>
        <w:spacing w:line="360" w:lineRule="auto"/>
      </w:pPr>
      <w:r>
        <w:t>Rid</w:t>
      </w:r>
      <w:r w:rsidR="00013F5A">
        <w:t xml:space="preserve"> financial systems of historic bad </w:t>
      </w:r>
      <w:r w:rsidR="00FA1856">
        <w:t xml:space="preserve">financial </w:t>
      </w:r>
      <w:r w:rsidR="00013F5A">
        <w:t xml:space="preserve">practice </w:t>
      </w:r>
    </w:p>
    <w:p w:rsidR="00013F5A" w:rsidRDefault="00013F5A" w:rsidP="00DE5ACA">
      <w:pPr>
        <w:pStyle w:val="ListParagraph"/>
        <w:numPr>
          <w:ilvl w:val="0"/>
          <w:numId w:val="3"/>
        </w:numPr>
        <w:spacing w:line="360" w:lineRule="auto"/>
      </w:pPr>
      <w:r>
        <w:t>Simplify the accounting process through a clear and meaningful set of accounts and classification rules</w:t>
      </w:r>
    </w:p>
    <w:p w:rsidR="00013F5A" w:rsidRDefault="00B23EED" w:rsidP="00DE5ACA">
      <w:pPr>
        <w:pStyle w:val="ListParagraph"/>
        <w:numPr>
          <w:ilvl w:val="0"/>
          <w:numId w:val="3"/>
        </w:numPr>
        <w:spacing w:line="360" w:lineRule="auto"/>
      </w:pPr>
      <w:r>
        <w:t>Decrease</w:t>
      </w:r>
      <w:r w:rsidR="00013F5A">
        <w:t xml:space="preserve"> the risk of accounting errors by means of strong relational and referentia</w:t>
      </w:r>
      <w:r w:rsidR="00DE5ACA">
        <w:t>l integrity</w:t>
      </w:r>
    </w:p>
    <w:p w:rsidR="00013F5A" w:rsidRDefault="00013F5A" w:rsidP="006A5112">
      <w:pPr>
        <w:spacing w:line="360" w:lineRule="auto"/>
      </w:pPr>
      <w:r>
        <w:t xml:space="preserve">There are many examples throughout the Item </w:t>
      </w:r>
      <w:r w:rsidRPr="006A5112">
        <w:rPr>
          <w:b/>
        </w:rPr>
        <w:t>Assets, Liabilities &amp; Net Assets</w:t>
      </w:r>
      <w:r w:rsidR="007D6663">
        <w:t>, better known as the Statement of Financial Position,</w:t>
      </w:r>
      <w:r>
        <w:t xml:space="preserve"> of the same anomaly where Opening &amp; Closing balances are defined as autonomous </w:t>
      </w:r>
      <w:r w:rsidR="0030016E">
        <w:t xml:space="preserve">GL </w:t>
      </w:r>
      <w:r>
        <w:t>Accounts. For th</w:t>
      </w:r>
      <w:r w:rsidR="007D6663">
        <w:t>e purpose of th</w:t>
      </w:r>
      <w:r>
        <w:t xml:space="preserve">is </w:t>
      </w:r>
      <w:r w:rsidR="007D6663">
        <w:t xml:space="preserve">presentation </w:t>
      </w:r>
      <w:r>
        <w:t xml:space="preserve">we </w:t>
      </w:r>
      <w:r w:rsidR="007D6663">
        <w:t xml:space="preserve">only need </w:t>
      </w:r>
      <w:r>
        <w:t>to focus on lines 2695 – 2717</w:t>
      </w:r>
      <w:r w:rsidR="007D6663">
        <w:t>,</w:t>
      </w:r>
      <w:r>
        <w:t xml:space="preserve"> of said chart</w:t>
      </w:r>
      <w:r w:rsidR="007D6663">
        <w:t>,</w:t>
      </w:r>
      <w:r>
        <w:t xml:space="preserve"> because we believe </w:t>
      </w:r>
      <w:r w:rsidR="00B23EED">
        <w:t xml:space="preserve">that </w:t>
      </w:r>
      <w:r>
        <w:t xml:space="preserve">if </w:t>
      </w:r>
      <w:r w:rsidR="00B23EED">
        <w:t xml:space="preserve">the anomaly </w:t>
      </w:r>
      <w:r>
        <w:t xml:space="preserve">is resolved for these accounts it will be resolved for all other instances per implication. </w:t>
      </w:r>
    </w:p>
    <w:p w:rsidR="00013F5A" w:rsidRDefault="007905C1" w:rsidP="00E81864">
      <w:pPr>
        <w:pStyle w:val="ListParagraph"/>
        <w:numPr>
          <w:ilvl w:val="1"/>
          <w:numId w:val="3"/>
        </w:numPr>
        <w:spacing w:line="360" w:lineRule="auto"/>
      </w:pPr>
      <w:r>
        <w:t>On l</w:t>
      </w:r>
      <w:r w:rsidR="00013F5A">
        <w:t xml:space="preserve">ine 2702 </w:t>
      </w:r>
      <w:r>
        <w:t>a single account dealing with “</w:t>
      </w:r>
      <w:r w:rsidR="00013F5A">
        <w:t>Current Assets: Inventory – Spare Parts</w:t>
      </w:r>
      <w:r>
        <w:t xml:space="preserve">” is found </w:t>
      </w:r>
      <w:r w:rsidR="00C179CA">
        <w:t xml:space="preserve">which </w:t>
      </w:r>
      <w:r w:rsidR="00013F5A">
        <w:t xml:space="preserve">is </w:t>
      </w:r>
      <w:r w:rsidR="007D6663">
        <w:t xml:space="preserve">very </w:t>
      </w:r>
      <w:r w:rsidR="00013F5A">
        <w:t>much what one would expect to find in the Statement of Financial Position</w:t>
      </w:r>
    </w:p>
    <w:p w:rsidR="00013F5A" w:rsidRDefault="007905C1" w:rsidP="00E81864">
      <w:pPr>
        <w:pStyle w:val="ListParagraph"/>
        <w:numPr>
          <w:ilvl w:val="1"/>
          <w:numId w:val="3"/>
        </w:numPr>
        <w:spacing w:line="360" w:lineRule="auto"/>
      </w:pPr>
      <w:r>
        <w:t>On l</w:t>
      </w:r>
      <w:r w:rsidR="00013F5A">
        <w:t>ine 2703</w:t>
      </w:r>
      <w:r>
        <w:t xml:space="preserve"> however</w:t>
      </w:r>
      <w:r w:rsidR="00013F5A">
        <w:t xml:space="preserve">, </w:t>
      </w:r>
      <w:r>
        <w:t xml:space="preserve">there are multiple accounts set up to deal </w:t>
      </w:r>
      <w:r w:rsidR="00013F5A">
        <w:t xml:space="preserve">with </w:t>
      </w:r>
      <w:r>
        <w:t>“</w:t>
      </w:r>
      <w:r w:rsidR="00013F5A">
        <w:t>Current Assets: Inventory – Water</w:t>
      </w:r>
      <w:r>
        <w:t>”. What makes this an u</w:t>
      </w:r>
      <w:r w:rsidR="00013F5A">
        <w:t>nexpected and inconsistent</w:t>
      </w:r>
      <w:r>
        <w:t xml:space="preserve"> departure from the previous line is that there is a breakdown of accounts, </w:t>
      </w:r>
      <w:r w:rsidR="00D91CB7">
        <w:t>let’s call them</w:t>
      </w:r>
      <w:r w:rsidR="00013F5A">
        <w:t xml:space="preserve"> “pseudo </w:t>
      </w:r>
      <w:r w:rsidR="00D91CB7">
        <w:t>nominal accounts</w:t>
      </w:r>
      <w:r w:rsidR="00013F5A">
        <w:t>”</w:t>
      </w:r>
      <w:r>
        <w:t>,</w:t>
      </w:r>
      <w:r w:rsidR="00013F5A">
        <w:t xml:space="preserve"> </w:t>
      </w:r>
      <w:r>
        <w:t>consist</w:t>
      </w:r>
      <w:r w:rsidR="00DA5362">
        <w:t>ing</w:t>
      </w:r>
      <w:r>
        <w:t xml:space="preserve"> of </w:t>
      </w:r>
      <w:r w:rsidR="00013F5A">
        <w:t xml:space="preserve">Opening &amp; Closing balance accounts </w:t>
      </w:r>
      <w:r>
        <w:t>with other “</w:t>
      </w:r>
      <w:r w:rsidR="00D91CB7">
        <w:t>nominal</w:t>
      </w:r>
      <w:r>
        <w:t xml:space="preserve">” type accounts </w:t>
      </w:r>
      <w:r w:rsidR="00013F5A">
        <w:t xml:space="preserve">in between </w:t>
      </w:r>
      <w:r>
        <w:t>which suspiciously resemble</w:t>
      </w:r>
      <w:r w:rsidR="00013F5A">
        <w:t xml:space="preserve"> elements belonging to the Sta</w:t>
      </w:r>
      <w:r w:rsidR="007D6663">
        <w:t>tement of Financial Performance or the SCOA Item Gains &amp; Losses.</w:t>
      </w:r>
    </w:p>
    <w:p w:rsidR="00013F5A" w:rsidRDefault="00013F5A" w:rsidP="00E81864">
      <w:pPr>
        <w:pStyle w:val="ListParagraph"/>
        <w:numPr>
          <w:ilvl w:val="1"/>
          <w:numId w:val="3"/>
        </w:numPr>
        <w:spacing w:line="360" w:lineRule="auto"/>
      </w:pPr>
      <w:r>
        <w:t>Furthermore these accounts do not cater for a specific water reservoir but only for a generic inventory item which gives rise to the obvious question whether this account, “Current Assets: Inventory – Water”, is the control account for a subsidiary inventory dealing with the different water inventories/reservoirs</w:t>
      </w:r>
      <w:r w:rsidR="00DA5362">
        <w:t xml:space="preserve"> in any event</w:t>
      </w:r>
      <w:r>
        <w:t>?</w:t>
      </w:r>
    </w:p>
    <w:p w:rsidR="00013F5A" w:rsidRDefault="00013F5A" w:rsidP="00E81864">
      <w:pPr>
        <w:pStyle w:val="ListParagraph"/>
        <w:numPr>
          <w:ilvl w:val="1"/>
          <w:numId w:val="3"/>
        </w:numPr>
        <w:spacing w:line="360" w:lineRule="auto"/>
      </w:pPr>
      <w:r>
        <w:t xml:space="preserve">There is also no allowance made for the </w:t>
      </w:r>
      <w:r w:rsidR="005C1650">
        <w:t>sale</w:t>
      </w:r>
      <w:r>
        <w:t xml:space="preserve"> of water through the Cost of Sales posting which implies that this account will continue to grow as an asset with the only usage accounted for </w:t>
      </w:r>
      <w:r w:rsidR="00B23EED">
        <w:t>being</w:t>
      </w:r>
      <w:r>
        <w:t xml:space="preserve"> the losses as detailed in the “</w:t>
      </w:r>
      <w:r w:rsidR="00347CD8">
        <w:t>pseudo nominal accounts</w:t>
      </w:r>
      <w:r>
        <w:t>”</w:t>
      </w:r>
      <w:r w:rsidR="00B23EED">
        <w:t>.</w:t>
      </w:r>
    </w:p>
    <w:p w:rsidR="00BB1AF9" w:rsidRDefault="00BB1AF9" w:rsidP="00E81864">
      <w:pPr>
        <w:spacing w:line="360" w:lineRule="auto"/>
        <w:ind w:left="360"/>
      </w:pPr>
      <w:r>
        <w:lastRenderedPageBreak/>
        <w:t xml:space="preserve">To </w:t>
      </w:r>
      <w:r w:rsidR="007D6663">
        <w:t xml:space="preserve">acquire a conceptual and technical </w:t>
      </w:r>
      <w:r>
        <w:t>understand</w:t>
      </w:r>
      <w:r w:rsidR="007D6663">
        <w:t>ing</w:t>
      </w:r>
      <w:r>
        <w:t xml:space="preserve"> </w:t>
      </w:r>
      <w:r w:rsidR="007D6663">
        <w:t xml:space="preserve">of </w:t>
      </w:r>
      <w:r>
        <w:t xml:space="preserve">our problem with the Opening &amp; Closing </w:t>
      </w:r>
      <w:r w:rsidR="00B23EED">
        <w:t>b</w:t>
      </w:r>
      <w:r>
        <w:t>alance accounts in the Statement of Financial Position</w:t>
      </w:r>
      <w:r w:rsidR="00DA5362">
        <w:t>,</w:t>
      </w:r>
      <w:r>
        <w:t xml:space="preserve"> as depicted in SCOA</w:t>
      </w:r>
      <w:r w:rsidR="00DA5362">
        <w:t>,</w:t>
      </w:r>
      <w:r>
        <w:t xml:space="preserve"> one has to first agree on </w:t>
      </w:r>
      <w:r w:rsidR="00AE351C">
        <w:t>three</w:t>
      </w:r>
      <w:r>
        <w:t xml:space="preserve"> </w:t>
      </w:r>
      <w:r w:rsidR="00AE351C">
        <w:t xml:space="preserve">very </w:t>
      </w:r>
      <w:r>
        <w:t xml:space="preserve">basic accounting principles and then </w:t>
      </w:r>
      <w:r w:rsidR="00AE351C">
        <w:t xml:space="preserve">we </w:t>
      </w:r>
      <w:r>
        <w:t xml:space="preserve">have </w:t>
      </w:r>
      <w:r w:rsidR="00AE351C">
        <w:t xml:space="preserve">to examine </w:t>
      </w:r>
      <w:r>
        <w:t xml:space="preserve">exactly </w:t>
      </w:r>
      <w:r w:rsidR="00AE351C">
        <w:t xml:space="preserve">what </w:t>
      </w:r>
      <w:r>
        <w:t xml:space="preserve">an Opening and </w:t>
      </w:r>
      <w:r w:rsidR="00AE351C">
        <w:t xml:space="preserve">a </w:t>
      </w:r>
      <w:r>
        <w:t>Closing Balance is.</w:t>
      </w:r>
    </w:p>
    <w:p w:rsidR="003A06D2" w:rsidRDefault="003A06D2" w:rsidP="00E81864">
      <w:pPr>
        <w:pStyle w:val="ListParagraph"/>
        <w:numPr>
          <w:ilvl w:val="0"/>
          <w:numId w:val="1"/>
        </w:numPr>
        <w:spacing w:line="360" w:lineRule="auto"/>
      </w:pPr>
      <w:r>
        <w:t xml:space="preserve">Only the Accounts for Assets, Liabilities and Equity (Net Assets) as </w:t>
      </w:r>
      <w:r w:rsidR="009E55F1">
        <w:t>found</w:t>
      </w:r>
      <w:r>
        <w:t xml:space="preserve"> in the Statement of Financial Position have Opening and Closing balances because they exist </w:t>
      </w:r>
      <w:r w:rsidR="005C1650">
        <w:t xml:space="preserve">across financial periods. </w:t>
      </w:r>
      <w:r w:rsidR="00AE351C">
        <w:t xml:space="preserve">The closing balance of period one becomes the </w:t>
      </w:r>
      <w:r w:rsidR="0030016E">
        <w:t xml:space="preserve">rollover </w:t>
      </w:r>
      <w:r w:rsidR="00AE351C">
        <w:t xml:space="preserve">opening balance of period two. </w:t>
      </w:r>
      <w:r w:rsidR="005C1650">
        <w:t xml:space="preserve">Their </w:t>
      </w:r>
      <w:r w:rsidR="00D45108">
        <w:t>financial balances</w:t>
      </w:r>
      <w:r>
        <w:t xml:space="preserve"> </w:t>
      </w:r>
      <w:r w:rsidR="005C1650">
        <w:t xml:space="preserve">are not cleared </w:t>
      </w:r>
      <w:r>
        <w:t>at the</w:t>
      </w:r>
      <w:r w:rsidR="00BB1AF9">
        <w:t xml:space="preserve"> end of a financial period </w:t>
      </w:r>
      <w:r w:rsidR="00013F5A">
        <w:t xml:space="preserve">in order </w:t>
      </w:r>
      <w:r w:rsidR="00BB1AF9">
        <w:t xml:space="preserve">to start a new </w:t>
      </w:r>
      <w:r w:rsidR="00013F5A">
        <w:t xml:space="preserve">financial period with a zero balance as </w:t>
      </w:r>
      <w:r w:rsidR="005C1650">
        <w:t xml:space="preserve">is </w:t>
      </w:r>
      <w:r w:rsidR="00013F5A" w:rsidRPr="005C1650">
        <w:t>found</w:t>
      </w:r>
      <w:r w:rsidR="00013F5A">
        <w:t xml:space="preserve"> in </w:t>
      </w:r>
      <w:r w:rsidR="00BB1AF9">
        <w:t>the nominal account</w:t>
      </w:r>
      <w:r w:rsidR="00D45108">
        <w:t>s relating to the Statement of Financial Performance commonly known as the Income Statement.</w:t>
      </w:r>
    </w:p>
    <w:p w:rsidR="00BB1AF9" w:rsidRDefault="00D45108" w:rsidP="00E81864">
      <w:pPr>
        <w:pStyle w:val="ListParagraph"/>
        <w:numPr>
          <w:ilvl w:val="0"/>
          <w:numId w:val="1"/>
        </w:numPr>
        <w:spacing w:line="360" w:lineRule="auto"/>
      </w:pPr>
      <w:r>
        <w:t>Therefore e</w:t>
      </w:r>
      <w:r w:rsidR="00BB1AF9">
        <w:t>ach and every account in the Statement of Fin</w:t>
      </w:r>
      <w:r>
        <w:t xml:space="preserve">ancial Position </w:t>
      </w:r>
      <w:r w:rsidR="00DA5362">
        <w:t xml:space="preserve">must have </w:t>
      </w:r>
      <w:r>
        <w:t>an Opening and a</w:t>
      </w:r>
      <w:r w:rsidR="00BB1AF9">
        <w:t xml:space="preserve"> Closing balance</w:t>
      </w:r>
      <w:r>
        <w:t>.</w:t>
      </w:r>
    </w:p>
    <w:p w:rsidR="00AE351C" w:rsidRDefault="00AE351C" w:rsidP="00E81864">
      <w:pPr>
        <w:pStyle w:val="ListParagraph"/>
        <w:numPr>
          <w:ilvl w:val="0"/>
          <w:numId w:val="1"/>
        </w:numPr>
        <w:spacing w:line="360" w:lineRule="auto"/>
      </w:pPr>
      <w:r>
        <w:t xml:space="preserve">The opening &amp; closing balances of a specific GL account cannot affect the financial position of another account. Put another way, real GL accounts are not </w:t>
      </w:r>
      <w:r w:rsidR="00B23EED">
        <w:t xml:space="preserve">manipulated and/or </w:t>
      </w:r>
      <w:r>
        <w:t>convoluted in order to produce a calculated opening or closing balance for another account.</w:t>
      </w:r>
    </w:p>
    <w:p w:rsidR="004601C1" w:rsidRDefault="004601C1" w:rsidP="00E81864">
      <w:pPr>
        <w:spacing w:line="360" w:lineRule="auto"/>
      </w:pPr>
      <w:r>
        <w:t>The O</w:t>
      </w:r>
      <w:r w:rsidR="007665A3">
        <w:t xml:space="preserve">pening balance of a General Ledger Account in the Statement of Financial Position is </w:t>
      </w:r>
      <w:r w:rsidR="00DA5362">
        <w:t xml:space="preserve">equivalent to </w:t>
      </w:r>
      <w:r w:rsidR="007665A3">
        <w:t>the closing balance of</w:t>
      </w:r>
      <w:r>
        <w:t xml:space="preserve"> the same account from the previous</w:t>
      </w:r>
      <w:r w:rsidR="007665A3">
        <w:t xml:space="preserve"> period</w:t>
      </w:r>
      <w:r>
        <w:t xml:space="preserve"> and is the </w:t>
      </w:r>
      <w:r w:rsidRPr="00AE351C">
        <w:rPr>
          <w:b/>
          <w:u w:val="single"/>
        </w:rPr>
        <w:t>first entry</w:t>
      </w:r>
      <w:r>
        <w:t xml:space="preserve"> into th</w:t>
      </w:r>
      <w:r w:rsidR="00654F22">
        <w:t>at</w:t>
      </w:r>
      <w:r>
        <w:t xml:space="preserve"> account at the start of a new financial period. </w:t>
      </w:r>
    </w:p>
    <w:p w:rsidR="00D40512" w:rsidRPr="00D45108" w:rsidRDefault="00BB1AF9" w:rsidP="00E81864">
      <w:pPr>
        <w:spacing w:line="360" w:lineRule="auto"/>
        <w:rPr>
          <w:b/>
          <w:i/>
        </w:rPr>
      </w:pPr>
      <w:r w:rsidRPr="00D45108">
        <w:rPr>
          <w:b/>
          <w:i/>
        </w:rPr>
        <w:t>This brings us to the first important</w:t>
      </w:r>
      <w:r w:rsidR="004601C1" w:rsidRPr="00D45108">
        <w:rPr>
          <w:b/>
          <w:i/>
        </w:rPr>
        <w:t xml:space="preserve"> </w:t>
      </w:r>
      <w:r w:rsidRPr="00D45108">
        <w:rPr>
          <w:b/>
          <w:i/>
        </w:rPr>
        <w:t xml:space="preserve">disparity between </w:t>
      </w:r>
      <w:r w:rsidR="002A3429" w:rsidRPr="002A3429">
        <w:rPr>
          <w:b/>
          <w:i/>
        </w:rPr>
        <w:t>accounting best practice</w:t>
      </w:r>
      <w:r w:rsidR="002A3429" w:rsidRPr="00D45108">
        <w:rPr>
          <w:b/>
          <w:i/>
        </w:rPr>
        <w:t xml:space="preserve"> </w:t>
      </w:r>
      <w:r w:rsidRPr="00D45108">
        <w:rPr>
          <w:b/>
          <w:i/>
        </w:rPr>
        <w:t xml:space="preserve">and SCOA which </w:t>
      </w:r>
      <w:r w:rsidR="004601C1" w:rsidRPr="00D45108">
        <w:rPr>
          <w:b/>
          <w:i/>
        </w:rPr>
        <w:t xml:space="preserve">is the fact that an opening balance is </w:t>
      </w:r>
      <w:r w:rsidR="0030016E">
        <w:rPr>
          <w:b/>
          <w:i/>
        </w:rPr>
        <w:t xml:space="preserve">only </w:t>
      </w:r>
      <w:r w:rsidR="004601C1" w:rsidRPr="00D45108">
        <w:rPr>
          <w:b/>
          <w:i/>
        </w:rPr>
        <w:t xml:space="preserve">an </w:t>
      </w:r>
      <w:r w:rsidR="004601C1" w:rsidRPr="00DA5362">
        <w:rPr>
          <w:b/>
          <w:i/>
          <w:u w:val="single"/>
        </w:rPr>
        <w:t>entry into an account</w:t>
      </w:r>
      <w:r w:rsidR="004601C1" w:rsidRPr="00D45108">
        <w:rPr>
          <w:b/>
          <w:i/>
        </w:rPr>
        <w:t xml:space="preserve"> and not an account in its own right. </w:t>
      </w:r>
    </w:p>
    <w:p w:rsidR="00654F22" w:rsidRDefault="00654F22" w:rsidP="00E81864">
      <w:pPr>
        <w:spacing w:line="360" w:lineRule="auto"/>
      </w:pPr>
      <w:r>
        <w:t xml:space="preserve">The Closing balance </w:t>
      </w:r>
      <w:r w:rsidR="00113959">
        <w:t xml:space="preserve">of a specific account (in this instance Water Inventory) </w:t>
      </w:r>
      <w:r>
        <w:t xml:space="preserve">is merely </w:t>
      </w:r>
      <w:r w:rsidR="00113959">
        <w:t xml:space="preserve">a </w:t>
      </w:r>
      <w:r w:rsidR="005C1650">
        <w:t xml:space="preserve">summation </w:t>
      </w:r>
      <w:r w:rsidR="00113959">
        <w:t xml:space="preserve">of the net financial value of the account as </w:t>
      </w:r>
      <w:r w:rsidR="005C1650">
        <w:t>calculated</w:t>
      </w:r>
      <w:r w:rsidR="00113959">
        <w:t xml:space="preserve"> from the opening balance, debit and credit postings to that specific account (</w:t>
      </w:r>
      <w:r w:rsidR="00113959" w:rsidRPr="00AE351C">
        <w:rPr>
          <w:b/>
        </w:rPr>
        <w:t>NOT A SET OF ACCOUNTS</w:t>
      </w:r>
      <w:r w:rsidR="00113959">
        <w:t xml:space="preserve">) within a specific financial period. In a computerized system this </w:t>
      </w:r>
      <w:r w:rsidR="00D97B18">
        <w:t>closing balance amount</w:t>
      </w:r>
      <w:r w:rsidR="00113959">
        <w:t xml:space="preserve"> will be calculated and displayed real time as transactions are processed. This feature </w:t>
      </w:r>
      <w:r w:rsidR="00D45108">
        <w:t xml:space="preserve">then </w:t>
      </w:r>
      <w:r w:rsidR="00113959">
        <w:t xml:space="preserve">enables the financial practitioner to </w:t>
      </w:r>
      <w:r w:rsidR="00D45108">
        <w:t xml:space="preserve">analyze and </w:t>
      </w:r>
      <w:r w:rsidR="00113959">
        <w:t xml:space="preserve">compare </w:t>
      </w:r>
      <w:r w:rsidR="00AE351C">
        <w:t xml:space="preserve">a specific GL account </w:t>
      </w:r>
      <w:r w:rsidR="000505EA">
        <w:t xml:space="preserve">e.g. </w:t>
      </w:r>
      <w:r w:rsidR="008B5B48">
        <w:t xml:space="preserve">Current Assets: Inventory – Water’s </w:t>
      </w:r>
      <w:r w:rsidR="000505EA">
        <w:t xml:space="preserve">actual stock </w:t>
      </w:r>
      <w:r w:rsidR="00113959">
        <w:t xml:space="preserve">with theoretical </w:t>
      </w:r>
      <w:r w:rsidR="000505EA">
        <w:t>stock</w:t>
      </w:r>
      <w:r w:rsidR="00113959">
        <w:t xml:space="preserve"> in real</w:t>
      </w:r>
      <w:r w:rsidR="009C0D51">
        <w:t xml:space="preserve"> </w:t>
      </w:r>
      <w:r w:rsidR="00113959">
        <w:t>time.</w:t>
      </w:r>
    </w:p>
    <w:p w:rsidR="00113959" w:rsidRPr="00D45108" w:rsidRDefault="00113959" w:rsidP="00E81864">
      <w:pPr>
        <w:spacing w:line="360" w:lineRule="auto"/>
        <w:rPr>
          <w:b/>
          <w:i/>
        </w:rPr>
      </w:pPr>
      <w:r w:rsidRPr="00D45108">
        <w:rPr>
          <w:b/>
          <w:i/>
        </w:rPr>
        <w:t>Th</w:t>
      </w:r>
      <w:r w:rsidR="008B5B48">
        <w:rPr>
          <w:b/>
          <w:i/>
        </w:rPr>
        <w:t xml:space="preserve">e </w:t>
      </w:r>
      <w:r w:rsidRPr="00D45108">
        <w:rPr>
          <w:b/>
          <w:i/>
        </w:rPr>
        <w:t xml:space="preserve">second </w:t>
      </w:r>
      <w:r w:rsidR="008B5B48">
        <w:rPr>
          <w:b/>
          <w:i/>
        </w:rPr>
        <w:t xml:space="preserve">very </w:t>
      </w:r>
      <w:r w:rsidRPr="00D45108">
        <w:rPr>
          <w:b/>
          <w:i/>
        </w:rPr>
        <w:t xml:space="preserve">important disparity between </w:t>
      </w:r>
      <w:r w:rsidR="002A3429" w:rsidRPr="002A3429">
        <w:rPr>
          <w:b/>
          <w:i/>
        </w:rPr>
        <w:t xml:space="preserve">accounting best practice </w:t>
      </w:r>
      <w:r w:rsidRPr="00D45108">
        <w:rPr>
          <w:b/>
          <w:i/>
        </w:rPr>
        <w:t>and SCOA is the fact that the Closing Balance</w:t>
      </w:r>
      <w:r w:rsidR="00D45108">
        <w:rPr>
          <w:b/>
          <w:i/>
        </w:rPr>
        <w:t xml:space="preserve"> of any account, Nominal or Real, </w:t>
      </w:r>
      <w:r w:rsidRPr="00D45108">
        <w:rPr>
          <w:b/>
          <w:i/>
        </w:rPr>
        <w:t>is a calculation</w:t>
      </w:r>
      <w:r w:rsidR="00D45108">
        <w:rPr>
          <w:b/>
          <w:i/>
        </w:rPr>
        <w:t xml:space="preserve"> of net value </w:t>
      </w:r>
      <w:r w:rsidRPr="00D45108">
        <w:rPr>
          <w:b/>
          <w:i/>
        </w:rPr>
        <w:t xml:space="preserve">and not an account in its own right. It is not even an entry into the </w:t>
      </w:r>
      <w:r w:rsidR="009C0D51" w:rsidRPr="00D45108">
        <w:rPr>
          <w:b/>
          <w:i/>
        </w:rPr>
        <w:t>Chart of Accounts</w:t>
      </w:r>
      <w:r w:rsidRPr="00D45108">
        <w:rPr>
          <w:b/>
          <w:i/>
        </w:rPr>
        <w:t xml:space="preserve"> because </w:t>
      </w:r>
      <w:r w:rsidR="009C0D51" w:rsidRPr="00D45108">
        <w:rPr>
          <w:b/>
          <w:i/>
        </w:rPr>
        <w:t>either way</w:t>
      </w:r>
      <w:r w:rsidR="00D45108">
        <w:rPr>
          <w:b/>
          <w:i/>
        </w:rPr>
        <w:t xml:space="preserve">, whether Closing </w:t>
      </w:r>
      <w:r w:rsidR="00D45108">
        <w:rPr>
          <w:b/>
          <w:i/>
        </w:rPr>
        <w:lastRenderedPageBreak/>
        <w:t>Balance is handled as an account in its own right or an entry into an existing account,</w:t>
      </w:r>
      <w:r w:rsidR="009C0D51" w:rsidRPr="00D45108">
        <w:rPr>
          <w:b/>
          <w:i/>
        </w:rPr>
        <w:t xml:space="preserve"> it </w:t>
      </w:r>
      <w:r w:rsidR="008B5B48">
        <w:rPr>
          <w:b/>
          <w:i/>
        </w:rPr>
        <w:t>will result in</w:t>
      </w:r>
      <w:r w:rsidRPr="00D45108">
        <w:rPr>
          <w:b/>
          <w:i/>
        </w:rPr>
        <w:t xml:space="preserve"> a </w:t>
      </w:r>
      <w:r w:rsidR="008B5B48">
        <w:rPr>
          <w:b/>
          <w:i/>
        </w:rPr>
        <w:t xml:space="preserve">problem in the trial balance </w:t>
      </w:r>
    </w:p>
    <w:p w:rsidR="00BB1AF9" w:rsidRDefault="009C0D51" w:rsidP="00E81864">
      <w:pPr>
        <w:spacing w:line="360" w:lineRule="auto"/>
      </w:pPr>
      <w:r>
        <w:t>The accounts in SCOA</w:t>
      </w:r>
      <w:r w:rsidR="008B5B48">
        <w:t>,</w:t>
      </w:r>
      <w:r>
        <w:t xml:space="preserve"> which are created between </w:t>
      </w:r>
      <w:r w:rsidR="00B23EED">
        <w:t>the</w:t>
      </w:r>
      <w:r>
        <w:t xml:space="preserve"> Opening Balance and Closing Balance </w:t>
      </w:r>
      <w:r w:rsidR="00D97B18">
        <w:t>account</w:t>
      </w:r>
      <w:r w:rsidR="008B5B48">
        <w:t>s,</w:t>
      </w:r>
      <w:r w:rsidR="00D97B18">
        <w:t xml:space="preserve"> </w:t>
      </w:r>
      <w:r w:rsidR="008B5B48">
        <w:t>must</w:t>
      </w:r>
      <w:r>
        <w:t xml:space="preserve"> have their own Opening &amp; Closing balances because of the accounting principle </w:t>
      </w:r>
      <w:r w:rsidR="005958BD">
        <w:t>stated</w:t>
      </w:r>
      <w:r>
        <w:t xml:space="preserve"> upfront. If they are cleared at the end of the financial period</w:t>
      </w:r>
      <w:r w:rsidR="000505EA">
        <w:t>,</w:t>
      </w:r>
      <w:r>
        <w:t xml:space="preserve"> like a nominal account</w:t>
      </w:r>
      <w:r w:rsidR="000505EA">
        <w:t>,</w:t>
      </w:r>
      <w:r>
        <w:t xml:space="preserve"> </w:t>
      </w:r>
      <w:r w:rsidR="005314CA">
        <w:t xml:space="preserve">then they do not </w:t>
      </w:r>
      <w:r w:rsidR="000505EA">
        <w:t>comply with th</w:t>
      </w:r>
      <w:r w:rsidR="00B23EED">
        <w:t>is</w:t>
      </w:r>
      <w:r w:rsidR="000505EA">
        <w:t xml:space="preserve"> principle and therefore do not </w:t>
      </w:r>
      <w:r w:rsidR="005314CA">
        <w:t>belong in the Statement of Financial Position. If</w:t>
      </w:r>
      <w:r w:rsidR="008B5B48">
        <w:t>,</w:t>
      </w:r>
      <w:r w:rsidR="005314CA">
        <w:t xml:space="preserve"> </w:t>
      </w:r>
      <w:r w:rsidR="008B5B48">
        <w:t xml:space="preserve">on the other hand, </w:t>
      </w:r>
      <w:r w:rsidR="005314CA">
        <w:t xml:space="preserve">these accounts are not cleared at the end of a financial period their balances will merely grow unchecked </w:t>
      </w:r>
      <w:r w:rsidR="008B5B48">
        <w:t xml:space="preserve">and this </w:t>
      </w:r>
      <w:r w:rsidR="005314CA">
        <w:t>will again cause problems with double counting in the trial balance</w:t>
      </w:r>
      <w:r w:rsidR="000505EA">
        <w:t>.</w:t>
      </w:r>
    </w:p>
    <w:p w:rsidR="000505EA" w:rsidRPr="008B5B48" w:rsidRDefault="000505EA" w:rsidP="00E81864">
      <w:pPr>
        <w:spacing w:line="360" w:lineRule="auto"/>
        <w:rPr>
          <w:b/>
          <w:i/>
        </w:rPr>
      </w:pPr>
      <w:r w:rsidRPr="008B5B48">
        <w:rPr>
          <w:b/>
          <w:i/>
        </w:rPr>
        <w:t>Th</w:t>
      </w:r>
      <w:r w:rsidR="006145C9">
        <w:rPr>
          <w:b/>
          <w:i/>
        </w:rPr>
        <w:t>e</w:t>
      </w:r>
      <w:r w:rsidRPr="008B5B48">
        <w:rPr>
          <w:b/>
          <w:i/>
        </w:rPr>
        <w:t xml:space="preserve"> third </w:t>
      </w:r>
      <w:r w:rsidR="006145C9">
        <w:rPr>
          <w:b/>
          <w:i/>
        </w:rPr>
        <w:t>very</w:t>
      </w:r>
      <w:r w:rsidR="00B85E12">
        <w:rPr>
          <w:b/>
          <w:i/>
        </w:rPr>
        <w:t xml:space="preserve"> </w:t>
      </w:r>
      <w:r w:rsidRPr="008B5B48">
        <w:rPr>
          <w:b/>
          <w:i/>
        </w:rPr>
        <w:t xml:space="preserve">important disparity between </w:t>
      </w:r>
      <w:r w:rsidR="002A3429" w:rsidRPr="002A3429">
        <w:rPr>
          <w:b/>
          <w:i/>
        </w:rPr>
        <w:t>accounting best practice</w:t>
      </w:r>
      <w:r w:rsidR="008B5B48" w:rsidRPr="008B5B48">
        <w:rPr>
          <w:b/>
          <w:i/>
        </w:rPr>
        <w:t xml:space="preserve"> </w:t>
      </w:r>
      <w:r w:rsidRPr="008B5B48">
        <w:rPr>
          <w:b/>
          <w:i/>
        </w:rPr>
        <w:t>and SCOA i</w:t>
      </w:r>
      <w:r w:rsidR="00B85E12">
        <w:rPr>
          <w:b/>
          <w:i/>
        </w:rPr>
        <w:t xml:space="preserve">s the fact </w:t>
      </w:r>
      <w:r w:rsidRPr="008B5B48">
        <w:rPr>
          <w:b/>
          <w:i/>
        </w:rPr>
        <w:t xml:space="preserve">that the accounts between an opening balance and a closing balance </w:t>
      </w:r>
      <w:r w:rsidR="00B85E12">
        <w:rPr>
          <w:b/>
          <w:i/>
        </w:rPr>
        <w:t xml:space="preserve">conform to the </w:t>
      </w:r>
      <w:r w:rsidR="00B23EED">
        <w:rPr>
          <w:b/>
          <w:i/>
        </w:rPr>
        <w:t xml:space="preserve">principles </w:t>
      </w:r>
      <w:r w:rsidR="00B85E12">
        <w:rPr>
          <w:b/>
          <w:i/>
        </w:rPr>
        <w:t xml:space="preserve">of </w:t>
      </w:r>
      <w:r w:rsidR="00347CD8">
        <w:rPr>
          <w:b/>
          <w:i/>
        </w:rPr>
        <w:t>“</w:t>
      </w:r>
      <w:r w:rsidRPr="008B5B48">
        <w:rPr>
          <w:b/>
          <w:i/>
        </w:rPr>
        <w:t>pseudo nominal ledger accounts</w:t>
      </w:r>
      <w:r w:rsidR="00347CD8">
        <w:rPr>
          <w:b/>
          <w:i/>
        </w:rPr>
        <w:t>”</w:t>
      </w:r>
      <w:r w:rsidRPr="008B5B48">
        <w:rPr>
          <w:b/>
          <w:i/>
        </w:rPr>
        <w:t xml:space="preserve"> </w:t>
      </w:r>
      <w:r w:rsidR="00B23EED">
        <w:rPr>
          <w:b/>
          <w:i/>
        </w:rPr>
        <w:t xml:space="preserve">and therefore do </w:t>
      </w:r>
      <w:r w:rsidRPr="008B5B48">
        <w:rPr>
          <w:b/>
          <w:i/>
        </w:rPr>
        <w:t xml:space="preserve">not maintain </w:t>
      </w:r>
      <w:r w:rsidR="008B5B48">
        <w:rPr>
          <w:b/>
          <w:i/>
        </w:rPr>
        <w:t>their</w:t>
      </w:r>
      <w:r w:rsidRPr="008B5B48">
        <w:rPr>
          <w:b/>
          <w:i/>
        </w:rPr>
        <w:t xml:space="preserve"> own opening and closing balances across financial periods.</w:t>
      </w:r>
    </w:p>
    <w:p w:rsidR="0033188A" w:rsidRDefault="0033188A" w:rsidP="00E81864">
      <w:pPr>
        <w:spacing w:line="360" w:lineRule="auto"/>
      </w:pPr>
      <w:r>
        <w:t xml:space="preserve">Based on the accounting principles </w:t>
      </w:r>
      <w:r w:rsidR="005958BD">
        <w:t>stated</w:t>
      </w:r>
      <w:r>
        <w:t xml:space="preserve"> upfront it goes without saying that one GL Account in the Statement of Financial Position cannot, under any circumstances, affect the balances of another account in the same chart. This is however exactly what happens with the accounts between the opening and closing balances accounts. Even worse still, they relate as a whole, to a parent account which has never been posted to directly.</w:t>
      </w:r>
    </w:p>
    <w:p w:rsidR="0033188A" w:rsidRPr="0033188A" w:rsidRDefault="0033188A" w:rsidP="00E81864">
      <w:pPr>
        <w:spacing w:line="360" w:lineRule="auto"/>
        <w:rPr>
          <w:b/>
          <w:i/>
        </w:rPr>
      </w:pPr>
      <w:r w:rsidRPr="0033188A">
        <w:rPr>
          <w:b/>
          <w:i/>
        </w:rPr>
        <w:t xml:space="preserve">This brings us to the fourth and final disparity between </w:t>
      </w:r>
      <w:r w:rsidR="002A3429" w:rsidRPr="002A3429">
        <w:rPr>
          <w:b/>
          <w:i/>
        </w:rPr>
        <w:t>accounting best practice</w:t>
      </w:r>
      <w:r w:rsidR="002A3429" w:rsidRPr="00D45108">
        <w:rPr>
          <w:b/>
          <w:i/>
        </w:rPr>
        <w:t xml:space="preserve"> </w:t>
      </w:r>
      <w:r w:rsidRPr="0033188A">
        <w:rPr>
          <w:b/>
          <w:i/>
        </w:rPr>
        <w:t xml:space="preserve">and SCOA in that GL Accounts within the Statement of Financial Position are convoluted </w:t>
      </w:r>
      <w:r w:rsidR="00B85E12">
        <w:rPr>
          <w:b/>
          <w:i/>
        </w:rPr>
        <w:t xml:space="preserve">in such a way as </w:t>
      </w:r>
      <w:r w:rsidRPr="0033188A">
        <w:rPr>
          <w:b/>
          <w:i/>
        </w:rPr>
        <w:t xml:space="preserve">to </w:t>
      </w:r>
      <w:r w:rsidR="00B85E12">
        <w:rPr>
          <w:b/>
          <w:i/>
        </w:rPr>
        <w:t xml:space="preserve">directly impact </w:t>
      </w:r>
      <w:r w:rsidRPr="0033188A">
        <w:rPr>
          <w:b/>
          <w:i/>
        </w:rPr>
        <w:t>one another.</w:t>
      </w:r>
    </w:p>
    <w:p w:rsidR="009E55F1" w:rsidRDefault="006145C9" w:rsidP="00E81864">
      <w:pPr>
        <w:spacing w:line="360" w:lineRule="auto"/>
      </w:pPr>
      <w:r>
        <w:t>The m</w:t>
      </w:r>
      <w:r w:rsidR="009E55F1">
        <w:t xml:space="preserve">ain </w:t>
      </w:r>
      <w:r>
        <w:t xml:space="preserve">deficiencies and weaknesses </w:t>
      </w:r>
      <w:r w:rsidR="009E55F1">
        <w:t>of this concept:</w:t>
      </w:r>
    </w:p>
    <w:p w:rsidR="009E55F1" w:rsidRDefault="009E55F1" w:rsidP="00E81864">
      <w:pPr>
        <w:pStyle w:val="ListParagraph"/>
        <w:numPr>
          <w:ilvl w:val="0"/>
          <w:numId w:val="2"/>
        </w:numPr>
        <w:spacing w:line="360" w:lineRule="auto"/>
      </w:pPr>
      <w:r>
        <w:t>Does not conform to standard accounting practice</w:t>
      </w:r>
    </w:p>
    <w:p w:rsidR="009E55F1" w:rsidRDefault="009E55F1" w:rsidP="00E81864">
      <w:pPr>
        <w:pStyle w:val="ListParagraph"/>
        <w:numPr>
          <w:ilvl w:val="0"/>
          <w:numId w:val="2"/>
        </w:numPr>
        <w:spacing w:line="360" w:lineRule="auto"/>
      </w:pPr>
      <w:r>
        <w:t>Is not applied consistently across all Accounts</w:t>
      </w:r>
    </w:p>
    <w:p w:rsidR="009E55F1" w:rsidRDefault="006145C9" w:rsidP="00E81864">
      <w:pPr>
        <w:pStyle w:val="ListParagraph"/>
        <w:numPr>
          <w:ilvl w:val="0"/>
          <w:numId w:val="2"/>
        </w:numPr>
        <w:spacing w:line="360" w:lineRule="auto"/>
      </w:pPr>
      <w:r>
        <w:t>Prohibits f</w:t>
      </w:r>
      <w:r w:rsidR="009E55F1">
        <w:t>inancial month-ends because there is only one opening and one closing balance instead of twelve</w:t>
      </w:r>
    </w:p>
    <w:p w:rsidR="00C364CD" w:rsidRDefault="00C364CD" w:rsidP="00E81864">
      <w:pPr>
        <w:pStyle w:val="ListParagraph"/>
        <w:numPr>
          <w:ilvl w:val="0"/>
          <w:numId w:val="2"/>
        </w:numPr>
        <w:spacing w:line="360" w:lineRule="auto"/>
      </w:pPr>
      <w:r>
        <w:t>Limitation on what can be posted to any given account (</w:t>
      </w:r>
      <w:r w:rsidR="005958BD">
        <w:t xml:space="preserve">E.g. </w:t>
      </w:r>
      <w:r>
        <w:t>Cost of Sales in Water Inventory</w:t>
      </w:r>
      <w:r w:rsidR="006145C9">
        <w:t xml:space="preserve"> is omitted </w:t>
      </w:r>
      <w:r w:rsidR="005958BD">
        <w:t>as a valid account which in turn forces a periodic inventory system</w:t>
      </w:r>
      <w:r>
        <w:t>)</w:t>
      </w:r>
    </w:p>
    <w:p w:rsidR="009E55F1" w:rsidRDefault="009E55F1" w:rsidP="00E81864">
      <w:pPr>
        <w:pStyle w:val="ListParagraph"/>
        <w:numPr>
          <w:ilvl w:val="0"/>
          <w:numId w:val="2"/>
        </w:numPr>
        <w:spacing w:line="360" w:lineRule="auto"/>
      </w:pPr>
      <w:r>
        <w:t xml:space="preserve">Makes for unnecessary complexity </w:t>
      </w:r>
      <w:r w:rsidR="00AB31E1">
        <w:t>and loss of functionality</w:t>
      </w:r>
      <w:r w:rsidR="006145C9">
        <w:t xml:space="preserve"> in the chart as well as the Financial System</w:t>
      </w:r>
    </w:p>
    <w:p w:rsidR="00AB31E1" w:rsidRDefault="00AB31E1" w:rsidP="00E81864">
      <w:pPr>
        <w:pStyle w:val="ListParagraph"/>
        <w:numPr>
          <w:ilvl w:val="0"/>
          <w:numId w:val="2"/>
        </w:numPr>
        <w:spacing w:line="360" w:lineRule="auto"/>
      </w:pPr>
      <w:r>
        <w:t>Huge risk fo</w:t>
      </w:r>
      <w:r w:rsidR="006145C9">
        <w:t>r erroneous postings because of the</w:t>
      </w:r>
      <w:r>
        <w:t xml:space="preserve"> disjunction </w:t>
      </w:r>
      <w:r w:rsidR="006145C9">
        <w:t>between</w:t>
      </w:r>
      <w:r>
        <w:t xml:space="preserve"> the contra account</w:t>
      </w:r>
      <w:r w:rsidR="006145C9">
        <w:t>s</w:t>
      </w:r>
    </w:p>
    <w:p w:rsidR="00AB31E1" w:rsidRDefault="00AB31E1" w:rsidP="00E81864">
      <w:pPr>
        <w:pStyle w:val="ListParagraph"/>
        <w:numPr>
          <w:ilvl w:val="1"/>
          <w:numId w:val="2"/>
        </w:numPr>
        <w:spacing w:line="360" w:lineRule="auto"/>
      </w:pPr>
      <w:r>
        <w:lastRenderedPageBreak/>
        <w:t xml:space="preserve">Instead of a straight forward Debit of Water Inventory and Credit </w:t>
      </w:r>
      <w:r w:rsidR="00DA5362">
        <w:t>Water Purchases</w:t>
      </w:r>
      <w:r w:rsidR="002A3429">
        <w:t xml:space="preserve"> or Accounts Payable</w:t>
      </w:r>
      <w:r w:rsidR="00DA5362">
        <w:t xml:space="preserve"> </w:t>
      </w:r>
      <w:r>
        <w:t>for a purchase you leave the accounting official to decide which relevant or irrelevant Water Inventory vote to Debit whilst Credi</w:t>
      </w:r>
      <w:r w:rsidR="00DA5362">
        <w:t>ting Water Purchases</w:t>
      </w:r>
      <w:r>
        <w:t>. As an example the official can Debit the Opening Bal</w:t>
      </w:r>
      <w:r w:rsidR="00DA5362">
        <w:t xml:space="preserve">ance account and Credit Water Purchases </w:t>
      </w:r>
      <w:r>
        <w:t xml:space="preserve">and the </w:t>
      </w:r>
      <w:r w:rsidR="00124730">
        <w:t xml:space="preserve">overall </w:t>
      </w:r>
      <w:r>
        <w:t xml:space="preserve">result will still be the same but the reporting </w:t>
      </w:r>
      <w:r w:rsidR="00124730">
        <w:t>classifica</w:t>
      </w:r>
      <w:r w:rsidR="00DA5362">
        <w:t>t</w:t>
      </w:r>
      <w:r w:rsidR="00124730">
        <w:t>ion</w:t>
      </w:r>
      <w:r>
        <w:t xml:space="preserve"> will</w:t>
      </w:r>
      <w:r w:rsidR="005958BD">
        <w:t xml:space="preserve"> be incorrect.</w:t>
      </w:r>
    </w:p>
    <w:p w:rsidR="00DA5362" w:rsidRDefault="00DA5362" w:rsidP="00E81864">
      <w:pPr>
        <w:spacing w:line="360" w:lineRule="auto"/>
      </w:pPr>
      <w:r>
        <w:t>Recommendation:</w:t>
      </w:r>
    </w:p>
    <w:p w:rsidR="000505EA" w:rsidRDefault="000505EA" w:rsidP="00E81864">
      <w:pPr>
        <w:pStyle w:val="ListParagraph"/>
        <w:numPr>
          <w:ilvl w:val="0"/>
          <w:numId w:val="2"/>
        </w:numPr>
        <w:spacing w:line="360" w:lineRule="auto"/>
      </w:pPr>
      <w:r>
        <w:t>The same reporting classification information</w:t>
      </w:r>
      <w:r w:rsidR="0030016E">
        <w:t xml:space="preserve"> sought by National Treasury</w:t>
      </w:r>
      <w:r>
        <w:t xml:space="preserve"> can be </w:t>
      </w:r>
      <w:r w:rsidR="00124730">
        <w:t>obtained from the contra entries e.g.</w:t>
      </w:r>
    </w:p>
    <w:p w:rsidR="00124730" w:rsidRDefault="00124730" w:rsidP="00E81864">
      <w:pPr>
        <w:pStyle w:val="ListParagraph"/>
        <w:numPr>
          <w:ilvl w:val="1"/>
          <w:numId w:val="2"/>
        </w:numPr>
        <w:spacing w:line="360" w:lineRule="auto"/>
      </w:pPr>
      <w:r>
        <w:t xml:space="preserve">The contra posting for water purchases will be </w:t>
      </w:r>
      <w:r w:rsidR="00DA5362">
        <w:t>Purchases</w:t>
      </w:r>
    </w:p>
    <w:p w:rsidR="00124730" w:rsidRDefault="00124730" w:rsidP="00E81864">
      <w:pPr>
        <w:pStyle w:val="ListParagraph"/>
        <w:numPr>
          <w:ilvl w:val="1"/>
          <w:numId w:val="2"/>
        </w:numPr>
        <w:spacing w:line="360" w:lineRule="auto"/>
      </w:pPr>
      <w:r>
        <w:t xml:space="preserve">The contra posting for a specific water loss will be </w:t>
      </w:r>
      <w:r w:rsidR="00155AEC">
        <w:t xml:space="preserve">the </w:t>
      </w:r>
      <w:r w:rsidR="006145C9">
        <w:t>SCOA Item Lo</w:t>
      </w:r>
      <w:r>
        <w:t>sses account</w:t>
      </w:r>
    </w:p>
    <w:p w:rsidR="00E81864" w:rsidRDefault="00E81864" w:rsidP="00E81864">
      <w:pPr>
        <w:pStyle w:val="ListParagraph"/>
        <w:numPr>
          <w:ilvl w:val="1"/>
          <w:numId w:val="2"/>
        </w:numPr>
        <w:spacing w:line="360" w:lineRule="auto"/>
      </w:pPr>
      <w:r>
        <w:t>The contra posting for sales will be Cost of Sales</w:t>
      </w:r>
    </w:p>
    <w:p w:rsidR="00124730" w:rsidRDefault="00124730" w:rsidP="00E81864">
      <w:pPr>
        <w:pStyle w:val="ListParagraph"/>
        <w:numPr>
          <w:ilvl w:val="1"/>
          <w:numId w:val="2"/>
        </w:numPr>
        <w:spacing w:line="360" w:lineRule="auto"/>
      </w:pPr>
      <w:r>
        <w:t xml:space="preserve">In exactly the same way as </w:t>
      </w:r>
      <w:r w:rsidR="00E81864">
        <w:t xml:space="preserve">the </w:t>
      </w:r>
      <w:r w:rsidR="006145C9">
        <w:t xml:space="preserve">following </w:t>
      </w:r>
      <w:r>
        <w:t>T</w:t>
      </w:r>
      <w:r w:rsidR="006145C9">
        <w:t>-A</w:t>
      </w:r>
      <w:r>
        <w:t>ccount</w:t>
      </w:r>
      <w:r w:rsidR="00E81864">
        <w:t>s reflect</w:t>
      </w:r>
      <w:r>
        <w:t xml:space="preserve"> the information </w:t>
      </w:r>
    </w:p>
    <w:p w:rsidR="00DA5362" w:rsidRDefault="00DA5362" w:rsidP="00E81864">
      <w:pPr>
        <w:spacing w:line="360" w:lineRule="auto"/>
      </w:pPr>
    </w:p>
    <w:p w:rsidR="00317C4C" w:rsidRDefault="00317C4C" w:rsidP="00E81864">
      <w:pPr>
        <w:spacing w:line="360" w:lineRule="auto"/>
        <w:jc w:val="center"/>
      </w:pPr>
    </w:p>
    <w:p w:rsidR="00E81864" w:rsidRDefault="00E81864" w:rsidP="00E81864">
      <w:pPr>
        <w:spacing w:line="360" w:lineRule="auto"/>
        <w:jc w:val="center"/>
      </w:pPr>
      <w:r>
        <w:rPr>
          <w:noProof/>
          <w:lang w:val="en-ZA" w:eastAsia="en-ZA"/>
        </w:rPr>
        <w:lastRenderedPageBreak/>
        <w:drawing>
          <wp:inline distT="0" distB="0" distL="0" distR="0">
            <wp:extent cx="4533900" cy="500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l Inventory Postings.jpg"/>
                    <pic:cNvPicPr/>
                  </pic:nvPicPr>
                  <pic:blipFill>
                    <a:blip r:embed="rId9">
                      <a:extLst>
                        <a:ext uri="{28A0092B-C50C-407E-A947-70E740481C1C}">
                          <a14:useLocalDpi xmlns:a14="http://schemas.microsoft.com/office/drawing/2010/main" val="0"/>
                        </a:ext>
                      </a:extLst>
                    </a:blip>
                    <a:stretch>
                      <a:fillRect/>
                    </a:stretch>
                  </pic:blipFill>
                  <pic:spPr>
                    <a:xfrm>
                      <a:off x="0" y="0"/>
                      <a:ext cx="4533900" cy="5000625"/>
                    </a:xfrm>
                    <a:prstGeom prst="rect">
                      <a:avLst/>
                    </a:prstGeom>
                  </pic:spPr>
                </pic:pic>
              </a:graphicData>
            </a:graphic>
          </wp:inline>
        </w:drawing>
      </w:r>
    </w:p>
    <w:p w:rsidR="006145C9" w:rsidRDefault="006145C9" w:rsidP="00E81864">
      <w:pPr>
        <w:spacing w:line="360" w:lineRule="auto"/>
        <w:jc w:val="center"/>
      </w:pPr>
    </w:p>
    <w:p w:rsidR="002C64DD" w:rsidRDefault="00C364CD" w:rsidP="00E81864">
      <w:pPr>
        <w:spacing w:line="360" w:lineRule="auto"/>
      </w:pPr>
      <w:r>
        <w:t xml:space="preserve">It is clear from the above </w:t>
      </w:r>
      <w:r w:rsidR="002A3429">
        <w:t xml:space="preserve">transactions </w:t>
      </w:r>
      <w:r>
        <w:t>that a</w:t>
      </w:r>
      <w:r w:rsidR="002A3429">
        <w:t>ll relevant SCOA R</w:t>
      </w:r>
      <w:r>
        <w:t xml:space="preserve">eporting </w:t>
      </w:r>
      <w:r w:rsidR="002A3429">
        <w:t xml:space="preserve">information will be available </w:t>
      </w:r>
      <w:r>
        <w:t>from the contra posting account</w:t>
      </w:r>
      <w:r w:rsidR="002A3429">
        <w:t>s</w:t>
      </w:r>
      <w:r>
        <w:t xml:space="preserve"> </w:t>
      </w:r>
      <w:r w:rsidR="00E81864">
        <w:t>without having to subdivide the Water Inventory account into the “</w:t>
      </w:r>
      <w:r w:rsidR="00347CD8">
        <w:t>pseudo nominal accounts</w:t>
      </w:r>
      <w:r w:rsidR="00E81864">
        <w:t>”.</w:t>
      </w:r>
    </w:p>
    <w:p w:rsidR="00752FDA" w:rsidRDefault="00752FDA" w:rsidP="00E81864">
      <w:pPr>
        <w:spacing w:line="360" w:lineRule="auto"/>
      </w:pPr>
      <w:r>
        <w:t xml:space="preserve">It is also impossible to make a wrong classification with regard to the postings to Water Inventory as the contra account determines the </w:t>
      </w:r>
      <w:r w:rsidR="002A3429">
        <w:t>classification o</w:t>
      </w:r>
      <w:r>
        <w:t>f the posting.</w:t>
      </w:r>
    </w:p>
    <w:p w:rsidR="002C64DD" w:rsidRDefault="002C64DD" w:rsidP="00E81864">
      <w:pPr>
        <w:spacing w:line="360" w:lineRule="auto"/>
      </w:pPr>
    </w:p>
    <w:p w:rsidR="002C64DD" w:rsidRDefault="002C64DD" w:rsidP="00E81864">
      <w:pPr>
        <w:spacing w:line="360" w:lineRule="auto"/>
      </w:pPr>
    </w:p>
    <w:p w:rsidR="00752FDA" w:rsidRDefault="00752FDA" w:rsidP="00E81864">
      <w:pPr>
        <w:spacing w:line="360" w:lineRule="auto"/>
      </w:pPr>
    </w:p>
    <w:p w:rsidR="002C64DD" w:rsidRDefault="002C64DD" w:rsidP="00E81864">
      <w:pPr>
        <w:spacing w:line="360" w:lineRule="auto"/>
      </w:pPr>
      <w:r>
        <w:lastRenderedPageBreak/>
        <w:t>For comparative purposes the T-Accounts for the SCOA configuration is illustrated below:</w:t>
      </w:r>
    </w:p>
    <w:p w:rsidR="002C64DD" w:rsidRDefault="002C64DD" w:rsidP="002C64DD">
      <w:pPr>
        <w:spacing w:line="360" w:lineRule="auto"/>
        <w:jc w:val="center"/>
      </w:pPr>
      <w:r>
        <w:rPr>
          <w:noProof/>
          <w:lang w:val="en-ZA" w:eastAsia="en-ZA"/>
        </w:rPr>
        <w:drawing>
          <wp:inline distT="0" distB="0" distL="0" distR="0">
            <wp:extent cx="6390872" cy="6922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A Inventory Postings.jpg"/>
                    <pic:cNvPicPr/>
                  </pic:nvPicPr>
                  <pic:blipFill>
                    <a:blip r:embed="rId10">
                      <a:extLst>
                        <a:ext uri="{28A0092B-C50C-407E-A947-70E740481C1C}">
                          <a14:useLocalDpi xmlns:a14="http://schemas.microsoft.com/office/drawing/2010/main" val="0"/>
                        </a:ext>
                      </a:extLst>
                    </a:blip>
                    <a:stretch>
                      <a:fillRect/>
                    </a:stretch>
                  </pic:blipFill>
                  <pic:spPr>
                    <a:xfrm>
                      <a:off x="0" y="0"/>
                      <a:ext cx="6400831" cy="6933550"/>
                    </a:xfrm>
                    <a:prstGeom prst="rect">
                      <a:avLst/>
                    </a:prstGeom>
                  </pic:spPr>
                </pic:pic>
              </a:graphicData>
            </a:graphic>
          </wp:inline>
        </w:drawing>
      </w:r>
    </w:p>
    <w:p w:rsidR="00752FDA" w:rsidRDefault="00752FDA" w:rsidP="002C64DD">
      <w:pPr>
        <w:spacing w:line="360" w:lineRule="auto"/>
      </w:pPr>
    </w:p>
    <w:p w:rsidR="0030016E" w:rsidRDefault="0030016E" w:rsidP="002C64DD">
      <w:pPr>
        <w:spacing w:line="360" w:lineRule="auto"/>
      </w:pPr>
    </w:p>
    <w:p w:rsidR="00752FDA" w:rsidRDefault="0030016E" w:rsidP="002C64DD">
      <w:pPr>
        <w:spacing w:line="360" w:lineRule="auto"/>
      </w:pPr>
      <w:r>
        <w:lastRenderedPageBreak/>
        <w:t xml:space="preserve">Please </w:t>
      </w:r>
      <w:r w:rsidR="002C64DD">
        <w:t xml:space="preserve">Note: </w:t>
      </w:r>
      <w:r w:rsidR="002C64DD">
        <w:tab/>
      </w:r>
    </w:p>
    <w:p w:rsidR="00CD7D61" w:rsidRPr="00CD7D61" w:rsidRDefault="002C64DD" w:rsidP="00CD7D61">
      <w:pPr>
        <w:pStyle w:val="ListParagraph"/>
        <w:numPr>
          <w:ilvl w:val="0"/>
          <w:numId w:val="10"/>
        </w:numPr>
        <w:spacing w:line="360" w:lineRule="auto"/>
        <w:rPr>
          <w:b/>
          <w:u w:val="single"/>
        </w:rPr>
      </w:pPr>
      <w:r>
        <w:t>The absence of a Cost of Sale contra account</w:t>
      </w:r>
    </w:p>
    <w:p w:rsidR="00CD7D61" w:rsidRPr="00CD7D61" w:rsidRDefault="002C64DD" w:rsidP="00CD7D61">
      <w:pPr>
        <w:pStyle w:val="ListParagraph"/>
        <w:numPr>
          <w:ilvl w:val="0"/>
          <w:numId w:val="10"/>
        </w:numPr>
        <w:spacing w:line="360" w:lineRule="auto"/>
        <w:rPr>
          <w:b/>
          <w:u w:val="single"/>
        </w:rPr>
      </w:pPr>
      <w:r>
        <w:t xml:space="preserve">The misnomer of Losses Accounts classified as Assets in the </w:t>
      </w:r>
      <w:r w:rsidR="00CD7D61">
        <w:t>S</w:t>
      </w:r>
      <w:r>
        <w:t>tatement of</w:t>
      </w:r>
      <w:r w:rsidR="00CD7D61">
        <w:t xml:space="preserve"> F</w:t>
      </w:r>
      <w:r>
        <w:t>inancial Position</w:t>
      </w:r>
      <w:r w:rsidR="00CD7D61">
        <w:t xml:space="preserve"> </w:t>
      </w:r>
    </w:p>
    <w:p w:rsidR="00CD7D61" w:rsidRPr="00CD7D61" w:rsidRDefault="002C64DD" w:rsidP="00CD7D61">
      <w:pPr>
        <w:pStyle w:val="ListParagraph"/>
        <w:numPr>
          <w:ilvl w:val="0"/>
          <w:numId w:val="10"/>
        </w:numPr>
        <w:spacing w:line="360" w:lineRule="auto"/>
        <w:rPr>
          <w:b/>
          <w:u w:val="single"/>
        </w:rPr>
      </w:pPr>
      <w:r>
        <w:t xml:space="preserve">The actual Water Inventory Asset </w:t>
      </w:r>
      <w:r w:rsidR="00CD7D61">
        <w:t xml:space="preserve">that </w:t>
      </w:r>
      <w:r>
        <w:t xml:space="preserve">has no direct values in this </w:t>
      </w:r>
      <w:r w:rsidR="00CD7D61">
        <w:t>C</w:t>
      </w:r>
      <w:r>
        <w:t>onfiguration</w:t>
      </w:r>
    </w:p>
    <w:p w:rsidR="00CD7D61" w:rsidRPr="00CD7D61" w:rsidRDefault="00DE5ACA" w:rsidP="00CD7D61">
      <w:pPr>
        <w:pStyle w:val="ListParagraph"/>
        <w:numPr>
          <w:ilvl w:val="0"/>
          <w:numId w:val="10"/>
        </w:numPr>
        <w:spacing w:line="360" w:lineRule="auto"/>
        <w:rPr>
          <w:b/>
          <w:u w:val="single"/>
        </w:rPr>
      </w:pPr>
      <w:r>
        <w:t>There are double the number of accounts require</w:t>
      </w:r>
      <w:r w:rsidR="00CD7D61">
        <w:t xml:space="preserve">d to achieve </w:t>
      </w:r>
      <w:r>
        <w:t xml:space="preserve">the same </w:t>
      </w:r>
      <w:r w:rsidR="00CD7D61">
        <w:t>result</w:t>
      </w:r>
    </w:p>
    <w:p w:rsidR="007516CA" w:rsidRPr="007516CA" w:rsidRDefault="00752FDA" w:rsidP="00CD7D61">
      <w:pPr>
        <w:pStyle w:val="ListParagraph"/>
        <w:numPr>
          <w:ilvl w:val="0"/>
          <w:numId w:val="10"/>
        </w:numPr>
        <w:spacing w:line="360" w:lineRule="auto"/>
        <w:rPr>
          <w:b/>
          <w:u w:val="single"/>
        </w:rPr>
      </w:pPr>
      <w:r>
        <w:t xml:space="preserve">It is highly likely </w:t>
      </w:r>
      <w:r w:rsidR="00CD7D61">
        <w:t>t</w:t>
      </w:r>
      <w:r>
        <w:t xml:space="preserve">hat an incorrect call </w:t>
      </w:r>
      <w:r w:rsidR="00D91CB7">
        <w:t>will</w:t>
      </w:r>
      <w:r>
        <w:t xml:space="preserve"> be made with regard to the classification of the posting to the Water Inventory </w:t>
      </w:r>
      <w:r w:rsidR="00CD7D61">
        <w:t>s</w:t>
      </w:r>
      <w:r>
        <w:t xml:space="preserve">ub-accounts. E.g. The R 3000 Purchases could very easily have been posted to any of the other </w:t>
      </w:r>
      <w:r w:rsidR="00CD7D61">
        <w:t>a</w:t>
      </w:r>
      <w:r>
        <w:t>ccounts creating disparity between the contra account and its classification.</w:t>
      </w:r>
    </w:p>
    <w:p w:rsidR="007516CA" w:rsidRDefault="007516CA" w:rsidP="007516CA">
      <w:pPr>
        <w:spacing w:line="360" w:lineRule="auto"/>
      </w:pPr>
    </w:p>
    <w:p w:rsidR="007516CA" w:rsidRPr="007516CA" w:rsidRDefault="007516CA" w:rsidP="007516CA">
      <w:pPr>
        <w:spacing w:line="360" w:lineRule="auto"/>
      </w:pPr>
      <w:r w:rsidRPr="007516CA">
        <w:t xml:space="preserve">Example of what a GL Account </w:t>
      </w:r>
      <w:r w:rsidR="004C0341">
        <w:t xml:space="preserve">in the Statement of Financial Position </w:t>
      </w:r>
      <w:r w:rsidRPr="007516CA">
        <w:t>should look like</w:t>
      </w:r>
      <w:r>
        <w:t xml:space="preserve"> with a proper separation of Financial Periods.</w:t>
      </w:r>
    </w:p>
    <w:p w:rsidR="00DE5ACA" w:rsidRPr="007516CA" w:rsidRDefault="007516CA" w:rsidP="007516CA">
      <w:pPr>
        <w:spacing w:line="360" w:lineRule="auto"/>
        <w:rPr>
          <w:b/>
          <w:u w:val="single"/>
        </w:rPr>
      </w:pPr>
      <w:r>
        <w:rPr>
          <w:b/>
          <w:noProof/>
          <w:u w:val="single"/>
          <w:lang w:val="en-ZA" w:eastAsia="en-ZA"/>
        </w:rPr>
        <w:drawing>
          <wp:inline distT="0" distB="0" distL="0" distR="0">
            <wp:extent cx="5943600" cy="45453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 Ledger.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545330"/>
                    </a:xfrm>
                    <a:prstGeom prst="rect">
                      <a:avLst/>
                    </a:prstGeom>
                  </pic:spPr>
                </pic:pic>
              </a:graphicData>
            </a:graphic>
          </wp:inline>
        </w:drawing>
      </w:r>
      <w:r w:rsidR="00DE5ACA" w:rsidRPr="007516CA">
        <w:rPr>
          <w:b/>
          <w:u w:val="single"/>
        </w:rPr>
        <w:br w:type="page"/>
      </w:r>
    </w:p>
    <w:p w:rsidR="002C64DD" w:rsidRPr="006875D6" w:rsidRDefault="00CD7D61" w:rsidP="006875D6">
      <w:pPr>
        <w:pStyle w:val="ListParagraph"/>
        <w:numPr>
          <w:ilvl w:val="0"/>
          <w:numId w:val="8"/>
        </w:numPr>
        <w:spacing w:line="360" w:lineRule="auto"/>
        <w:rPr>
          <w:b/>
          <w:u w:val="single"/>
        </w:rPr>
      </w:pPr>
      <w:r>
        <w:rPr>
          <w:b/>
          <w:u w:val="single"/>
        </w:rPr>
        <w:lastRenderedPageBreak/>
        <w:t>The S</w:t>
      </w:r>
      <w:r w:rsidR="00DE5ACA" w:rsidRPr="006875D6">
        <w:rPr>
          <w:b/>
          <w:u w:val="single"/>
        </w:rPr>
        <w:t>ize and Complexity of the SCOA</w:t>
      </w:r>
    </w:p>
    <w:p w:rsidR="00456CEA" w:rsidRDefault="009F3622" w:rsidP="00E81864">
      <w:pPr>
        <w:spacing w:line="360" w:lineRule="auto"/>
      </w:pPr>
      <w:r>
        <w:t xml:space="preserve">Other issues </w:t>
      </w:r>
      <w:r w:rsidR="008B61EC">
        <w:t xml:space="preserve">which we believe compound the risk of implementing the Chart “As-Is” </w:t>
      </w:r>
      <w:r w:rsidR="00552CBF">
        <w:t>are</w:t>
      </w:r>
      <w:r>
        <w:t>:</w:t>
      </w:r>
    </w:p>
    <w:p w:rsidR="009F3622" w:rsidRDefault="009F3622" w:rsidP="00E81864">
      <w:pPr>
        <w:pStyle w:val="ListParagraph"/>
        <w:numPr>
          <w:ilvl w:val="0"/>
          <w:numId w:val="4"/>
        </w:numPr>
        <w:spacing w:line="360" w:lineRule="auto"/>
      </w:pPr>
      <w:r>
        <w:t xml:space="preserve">In the Item Assets, Net Assets &amp; Liabilities there are numerous examples of the same account being repeated only to be differentiated by its Regional Indicator. </w:t>
      </w:r>
      <w:r w:rsidR="008B61EC">
        <w:t xml:space="preserve">Because Region forms part and parcel of the SCOA classification framework the posting transaction </w:t>
      </w:r>
      <w:r w:rsidR="00CD7D61">
        <w:t>should</w:t>
      </w:r>
      <w:r w:rsidR="008B61EC">
        <w:t xml:space="preserve"> already contain region and it is </w:t>
      </w:r>
      <w:r w:rsidR="006875D6">
        <w:t>wholly</w:t>
      </w:r>
      <w:r w:rsidR="008B61EC">
        <w:t xml:space="preserve"> unnecessary to define it again in the account itself. </w:t>
      </w:r>
      <w:r>
        <w:t>Examples are:</w:t>
      </w:r>
    </w:p>
    <w:p w:rsidR="009F3622" w:rsidRDefault="009F3622" w:rsidP="00E81864">
      <w:pPr>
        <w:pStyle w:val="ListParagraph"/>
        <w:numPr>
          <w:ilvl w:val="1"/>
          <w:numId w:val="4"/>
        </w:numPr>
        <w:spacing w:line="360" w:lineRule="auto"/>
      </w:pPr>
      <w:r>
        <w:t>Lines 421-1028 (Capital Transfers &amp; Subsidies to District Municipalities</w:t>
      </w:r>
    </w:p>
    <w:p w:rsidR="009F3622" w:rsidRDefault="009F3622" w:rsidP="00E81864">
      <w:pPr>
        <w:pStyle w:val="ListParagraph"/>
        <w:numPr>
          <w:ilvl w:val="1"/>
          <w:numId w:val="4"/>
        </w:numPr>
        <w:spacing w:line="360" w:lineRule="auto"/>
      </w:pPr>
      <w:r>
        <w:t>Lines 1155-1263 (Capital Transfers &amp; Subsidies to Provincial Departments)</w:t>
      </w:r>
    </w:p>
    <w:p w:rsidR="009F3622" w:rsidRDefault="009F3622" w:rsidP="00E81864">
      <w:pPr>
        <w:pStyle w:val="ListParagraph"/>
        <w:numPr>
          <w:ilvl w:val="1"/>
          <w:numId w:val="4"/>
        </w:numPr>
        <w:spacing w:line="360" w:lineRule="auto"/>
      </w:pPr>
      <w:r>
        <w:t>Lines 1727-</w:t>
      </w:r>
      <w:r w:rsidR="00552CBF">
        <w:t>2334 (Operational Transfers &amp; Subsidies to District Municipalities)</w:t>
      </w:r>
    </w:p>
    <w:p w:rsidR="00552CBF" w:rsidRDefault="00552CBF" w:rsidP="00E81864">
      <w:pPr>
        <w:pStyle w:val="ListParagraph"/>
        <w:numPr>
          <w:ilvl w:val="1"/>
          <w:numId w:val="4"/>
        </w:numPr>
        <w:spacing w:line="360" w:lineRule="auto"/>
      </w:pPr>
      <w:r>
        <w:t>Lines 2467-2575 (Operational Transfers &amp; Subsidies to Provincial Departments)</w:t>
      </w:r>
    </w:p>
    <w:p w:rsidR="001B27F2" w:rsidRDefault="001B27F2" w:rsidP="00E81864">
      <w:pPr>
        <w:pStyle w:val="ListParagraph"/>
        <w:numPr>
          <w:ilvl w:val="1"/>
          <w:numId w:val="4"/>
        </w:numPr>
        <w:spacing w:line="360" w:lineRule="auto"/>
      </w:pPr>
      <w:r>
        <w:t>Exactly the same happens on the Liabilities side</w:t>
      </w:r>
    </w:p>
    <w:p w:rsidR="00552CBF" w:rsidRDefault="00552CBF" w:rsidP="00E81864">
      <w:pPr>
        <w:pStyle w:val="ListParagraph"/>
        <w:numPr>
          <w:ilvl w:val="0"/>
          <w:numId w:val="4"/>
        </w:numPr>
        <w:spacing w:line="360" w:lineRule="auto"/>
      </w:pPr>
      <w:r>
        <w:t>The Opening &amp; Closing balance anomaly</w:t>
      </w:r>
      <w:r w:rsidR="001B27F2">
        <w:t>,</w:t>
      </w:r>
      <w:r>
        <w:t xml:space="preserve"> discussed earlier</w:t>
      </w:r>
      <w:r w:rsidR="001B27F2">
        <w:t>,</w:t>
      </w:r>
      <w:r>
        <w:t xml:space="preserve"> compounds</w:t>
      </w:r>
      <w:r w:rsidR="001B27F2">
        <w:t xml:space="preserve"> this repetition problem </w:t>
      </w:r>
      <w:r w:rsidR="006875D6">
        <w:t>further</w:t>
      </w:r>
      <w:r w:rsidR="001B27F2">
        <w:t>.</w:t>
      </w:r>
    </w:p>
    <w:p w:rsidR="001B27F2" w:rsidRDefault="001B27F2" w:rsidP="00E81864">
      <w:pPr>
        <w:pStyle w:val="ListParagraph"/>
        <w:numPr>
          <w:ilvl w:val="1"/>
          <w:numId w:val="4"/>
        </w:numPr>
        <w:spacing w:line="360" w:lineRule="auto"/>
      </w:pPr>
      <w:r>
        <w:t xml:space="preserve">Lines 3905-3924 </w:t>
      </w:r>
      <w:r w:rsidR="006875D6">
        <w:t xml:space="preserve">contain </w:t>
      </w:r>
      <w:r>
        <w:t>example</w:t>
      </w:r>
      <w:r w:rsidR="006875D6">
        <w:t>s</w:t>
      </w:r>
      <w:r>
        <w:t xml:space="preserve"> of </w:t>
      </w:r>
      <w:r w:rsidR="006875D6">
        <w:t>this problem</w:t>
      </w:r>
      <w:r>
        <w:t>.</w:t>
      </w:r>
    </w:p>
    <w:p w:rsidR="001A6E38" w:rsidRDefault="001A6E38" w:rsidP="00E81864">
      <w:pPr>
        <w:pStyle w:val="ListParagraph"/>
        <w:numPr>
          <w:ilvl w:val="0"/>
          <w:numId w:val="4"/>
        </w:numPr>
        <w:spacing w:line="360" w:lineRule="auto"/>
      </w:pPr>
      <w:r>
        <w:t xml:space="preserve">The above </w:t>
      </w:r>
      <w:r w:rsidR="00A9157B">
        <w:t xml:space="preserve">goes a long way in </w:t>
      </w:r>
      <w:r>
        <w:t>explain</w:t>
      </w:r>
      <w:r w:rsidR="00A9157B">
        <w:t>ing</w:t>
      </w:r>
      <w:r>
        <w:t xml:space="preserve"> why there are </w:t>
      </w:r>
      <w:r w:rsidR="00CD7D61">
        <w:t xml:space="preserve">a massive </w:t>
      </w:r>
      <w:r>
        <w:t>21368 General Ledger accounts defined for the Statement of Financial Position.</w:t>
      </w:r>
    </w:p>
    <w:p w:rsidR="00134059" w:rsidRDefault="003F0134" w:rsidP="00E81864">
      <w:pPr>
        <w:pStyle w:val="ListParagraph"/>
        <w:numPr>
          <w:ilvl w:val="0"/>
          <w:numId w:val="4"/>
        </w:numPr>
        <w:spacing w:line="360" w:lineRule="auto"/>
      </w:pPr>
      <w:r>
        <w:t xml:space="preserve">Not necessarily an error but </w:t>
      </w:r>
      <w:r w:rsidR="005A2DB2">
        <w:t xml:space="preserve">definitely a concern </w:t>
      </w:r>
      <w:r>
        <w:t>is the fact that</w:t>
      </w:r>
      <w:r w:rsidR="00F214DD">
        <w:t xml:space="preserve"> the</w:t>
      </w:r>
      <w:r>
        <w:t xml:space="preserve"> </w:t>
      </w:r>
      <w:r w:rsidR="002B5600">
        <w:t>breakdown</w:t>
      </w:r>
      <w:r w:rsidR="00F214DD">
        <w:t xml:space="preserve"> </w:t>
      </w:r>
      <w:r>
        <w:t>o</w:t>
      </w:r>
      <w:r w:rsidR="001A6E38">
        <w:t xml:space="preserve">f the 21368 accounts </w:t>
      </w:r>
      <w:r w:rsidR="00522D5D">
        <w:t xml:space="preserve">in the Statement of Financial Position </w:t>
      </w:r>
      <w:r w:rsidR="00F214DD">
        <w:t>are as follows</w:t>
      </w:r>
    </w:p>
    <w:p w:rsidR="00A9157B" w:rsidRDefault="00A9157B" w:rsidP="00E81864">
      <w:pPr>
        <w:pStyle w:val="ListParagraph"/>
        <w:numPr>
          <w:ilvl w:val="1"/>
          <w:numId w:val="4"/>
        </w:numPr>
        <w:spacing w:line="360" w:lineRule="auto"/>
      </w:pPr>
      <w:r>
        <w:t>25</w:t>
      </w:r>
      <w:r w:rsidR="00134059">
        <w:t xml:space="preserve">% relate to </w:t>
      </w:r>
      <w:r>
        <w:t xml:space="preserve">the </w:t>
      </w:r>
      <w:r w:rsidR="00134059">
        <w:t xml:space="preserve">Balances </w:t>
      </w:r>
      <w:r>
        <w:t>accounts discussed earlier</w:t>
      </w:r>
    </w:p>
    <w:p w:rsidR="00F214DD" w:rsidRDefault="00134059" w:rsidP="00E81864">
      <w:pPr>
        <w:pStyle w:val="ListParagraph"/>
        <w:numPr>
          <w:ilvl w:val="1"/>
          <w:numId w:val="4"/>
        </w:numPr>
        <w:spacing w:line="360" w:lineRule="auto"/>
      </w:pPr>
      <w:r>
        <w:t xml:space="preserve">28% relate to duplications in the District Municipality </w:t>
      </w:r>
      <w:r w:rsidR="008B61EC">
        <w:t>domain</w:t>
      </w:r>
    </w:p>
    <w:p w:rsidR="00A9157B" w:rsidRDefault="00F214DD" w:rsidP="00E81864">
      <w:pPr>
        <w:pStyle w:val="ListParagraph"/>
        <w:numPr>
          <w:ilvl w:val="1"/>
          <w:numId w:val="4"/>
        </w:numPr>
        <w:spacing w:line="360" w:lineRule="auto"/>
      </w:pPr>
      <w:r>
        <w:t xml:space="preserve">5% </w:t>
      </w:r>
      <w:r w:rsidR="00A9157B">
        <w:t>r</w:t>
      </w:r>
      <w:r>
        <w:t>elate to duplications in the Provincial Department</w:t>
      </w:r>
      <w:r w:rsidR="00A9157B">
        <w:t>s</w:t>
      </w:r>
    </w:p>
    <w:p w:rsidR="00A964AA" w:rsidRDefault="008B61EC" w:rsidP="00E81864">
      <w:pPr>
        <w:pStyle w:val="ListParagraph"/>
        <w:numPr>
          <w:ilvl w:val="1"/>
          <w:numId w:val="4"/>
        </w:numPr>
        <w:spacing w:line="360" w:lineRule="auto"/>
      </w:pPr>
      <w:r>
        <w:t xml:space="preserve">And </w:t>
      </w:r>
      <w:r w:rsidR="00A964AA">
        <w:t>“Transfers &amp; Subsidies” make up 13005 of the accounts in the Statement of Financial Position</w:t>
      </w:r>
    </w:p>
    <w:p w:rsidR="007E47DC" w:rsidRDefault="007E47DC" w:rsidP="00E81864">
      <w:pPr>
        <w:pStyle w:val="ListParagraph"/>
        <w:numPr>
          <w:ilvl w:val="0"/>
          <w:numId w:val="4"/>
        </w:numPr>
        <w:spacing w:line="360" w:lineRule="auto"/>
      </w:pPr>
      <w:r>
        <w:t>The analysis and outcomes from the 2014/15 Benchmark Assessment would confirm that approx. 70% of the estimates of revenue from within the Municipal Fiscal Framework is underpinned by revenue from the Primary Sources i.e. water, electricity, refuse, sanitation and property rates. In addition, the Secondary Sources of Revenue i.e. libraries, cemeteries, traffic fines would constitute approx. 15% of the Municipal Fiscal Framework. This leaves Transfers &amp; Subsidies</w:t>
      </w:r>
      <w:r w:rsidR="008B61EC">
        <w:t>,</w:t>
      </w:r>
      <w:r>
        <w:t xml:space="preserve"> which are issued in terms of the Division of Revenue Act</w:t>
      </w:r>
      <w:r w:rsidR="008B61EC">
        <w:t>,</w:t>
      </w:r>
      <w:r>
        <w:t xml:space="preserve"> making up the remaining 15%</w:t>
      </w:r>
      <w:r w:rsidR="00E62683">
        <w:t xml:space="preserve">. Bearing in mind that these figures are approximations and that each </w:t>
      </w:r>
      <w:r w:rsidR="00E8012B">
        <w:t xml:space="preserve">municipality will have a different ratio it still remains a concern that 92% or 5204 of the </w:t>
      </w:r>
      <w:r w:rsidR="005A2DB2">
        <w:t xml:space="preserve">Item </w:t>
      </w:r>
      <w:r w:rsidR="00E8012B">
        <w:t xml:space="preserve">Revenue Accounts are </w:t>
      </w:r>
      <w:r w:rsidR="00E8012B">
        <w:lastRenderedPageBreak/>
        <w:t xml:space="preserve">related to Transfers &amp; Subsidies and only 466 accounts or 8% of the Revenue chart relate to the core </w:t>
      </w:r>
      <w:r w:rsidR="005A2DB2">
        <w:t xml:space="preserve">functions </w:t>
      </w:r>
      <w:r w:rsidR="00E8012B">
        <w:t>of the municipality.</w:t>
      </w:r>
    </w:p>
    <w:p w:rsidR="00E8012B" w:rsidRDefault="00E8012B" w:rsidP="00E81864">
      <w:pPr>
        <w:pStyle w:val="ListParagraph"/>
        <w:numPr>
          <w:ilvl w:val="0"/>
          <w:numId w:val="4"/>
        </w:numPr>
        <w:spacing w:line="360" w:lineRule="auto"/>
      </w:pPr>
      <w:r>
        <w:t xml:space="preserve">In the Item Revenue there are also numerous examples of the same account being repeated as is the case in the </w:t>
      </w:r>
      <w:r w:rsidR="00796C30">
        <w:t>It</w:t>
      </w:r>
      <w:r>
        <w:t>em Assets, Net Assets &amp; Liabilities. Examples are:</w:t>
      </w:r>
    </w:p>
    <w:p w:rsidR="00E8012B" w:rsidRDefault="00796C30" w:rsidP="00E81864">
      <w:pPr>
        <w:pStyle w:val="ListParagraph"/>
        <w:numPr>
          <w:ilvl w:val="1"/>
          <w:numId w:val="4"/>
        </w:numPr>
        <w:spacing w:line="360" w:lineRule="auto"/>
      </w:pPr>
      <w:r>
        <w:t>Lines 821-1428 (</w:t>
      </w:r>
      <w:r w:rsidRPr="00796C30">
        <w:t>Non-exchange Revenue:  Transfers and Subsidies - Capital:  Allocations In-kind - District Municipalities</w:t>
      </w:r>
      <w:r>
        <w:t>)</w:t>
      </w:r>
    </w:p>
    <w:p w:rsidR="00796C30" w:rsidRDefault="00796C30" w:rsidP="00E81864">
      <w:pPr>
        <w:pStyle w:val="ListParagraph"/>
        <w:numPr>
          <w:ilvl w:val="1"/>
          <w:numId w:val="4"/>
        </w:numPr>
        <w:spacing w:line="360" w:lineRule="auto"/>
      </w:pPr>
      <w:r>
        <w:t>Lines 1546-1654 (</w:t>
      </w:r>
      <w:r w:rsidRPr="00796C30">
        <w:t>Non-exchange Revenue:  Transfers and Subsidies - Capital:  Allocations In-kind - Provincial Departments</w:t>
      </w:r>
      <w:r>
        <w:t>)</w:t>
      </w:r>
    </w:p>
    <w:p w:rsidR="00796C30" w:rsidRDefault="00796C30" w:rsidP="00E81864">
      <w:pPr>
        <w:pStyle w:val="ListParagraph"/>
        <w:numPr>
          <w:ilvl w:val="1"/>
          <w:numId w:val="4"/>
        </w:numPr>
        <w:spacing w:line="360" w:lineRule="auto"/>
      </w:pPr>
      <w:r>
        <w:t>Lines 2117-2724 (</w:t>
      </w:r>
      <w:r w:rsidRPr="00796C30">
        <w:t>Non-exchange Revenue:  Transfers and Subsidies - Capital:  Monetary Allocations - District Municipalities</w:t>
      </w:r>
      <w:r>
        <w:t>)</w:t>
      </w:r>
    </w:p>
    <w:p w:rsidR="00796C30" w:rsidRDefault="00796C30" w:rsidP="00E81864">
      <w:pPr>
        <w:pStyle w:val="ListParagraph"/>
        <w:numPr>
          <w:ilvl w:val="1"/>
          <w:numId w:val="4"/>
        </w:numPr>
        <w:spacing w:line="360" w:lineRule="auto"/>
      </w:pPr>
      <w:r>
        <w:t>Lines 2851-2959 (</w:t>
      </w:r>
      <w:r w:rsidRPr="00796C30">
        <w:t>Non-exchange Revenue:  Transfers and Subsidies - Capital:  Monetary Allocations - Provincial Departments</w:t>
      </w:r>
      <w:r>
        <w:t>)</w:t>
      </w:r>
    </w:p>
    <w:p w:rsidR="00796C30" w:rsidRDefault="00796C30" w:rsidP="00E81864">
      <w:pPr>
        <w:pStyle w:val="ListParagraph"/>
        <w:numPr>
          <w:ilvl w:val="1"/>
          <w:numId w:val="4"/>
        </w:numPr>
        <w:spacing w:line="360" w:lineRule="auto"/>
      </w:pPr>
      <w:r>
        <w:t>Lines 3422-4029 (</w:t>
      </w:r>
      <w:r w:rsidRPr="00796C30">
        <w:t>Non-exchange Revenue:  Transfers and Subsidies - Operational:  Allocations In-kind - District Municipalities</w:t>
      </w:r>
      <w:r>
        <w:t>)</w:t>
      </w:r>
    </w:p>
    <w:p w:rsidR="005C0B59" w:rsidRDefault="005C0B59" w:rsidP="00E81864">
      <w:pPr>
        <w:pStyle w:val="ListParagraph"/>
        <w:numPr>
          <w:ilvl w:val="1"/>
          <w:numId w:val="4"/>
        </w:numPr>
        <w:spacing w:line="360" w:lineRule="auto"/>
      </w:pPr>
      <w:r>
        <w:t>Lines 4145-4253 (</w:t>
      </w:r>
      <w:r w:rsidRPr="005C0B59">
        <w:t>Non-exchange Revenue:  Transfers and Subsidies - Operational:  Allocations In-kind - Provincial Departments</w:t>
      </w:r>
      <w:r>
        <w:t>)</w:t>
      </w:r>
    </w:p>
    <w:p w:rsidR="005C0B59" w:rsidRDefault="005C0B59" w:rsidP="00E81864">
      <w:pPr>
        <w:pStyle w:val="ListParagraph"/>
        <w:numPr>
          <w:ilvl w:val="1"/>
          <w:numId w:val="4"/>
        </w:numPr>
        <w:spacing w:line="360" w:lineRule="auto"/>
      </w:pPr>
      <w:r>
        <w:t>Lines 4716-5323 (</w:t>
      </w:r>
      <w:r w:rsidRPr="005C0B59">
        <w:t>Non-exchange Revenue:  Transfers and Subsidies - Operational:  Monetary Allocations - District Municipalities</w:t>
      </w:r>
      <w:r>
        <w:t>)</w:t>
      </w:r>
    </w:p>
    <w:p w:rsidR="005C0B59" w:rsidRDefault="005C0B59" w:rsidP="00E81864">
      <w:pPr>
        <w:pStyle w:val="ListParagraph"/>
        <w:numPr>
          <w:ilvl w:val="1"/>
          <w:numId w:val="4"/>
        </w:numPr>
        <w:spacing w:line="360" w:lineRule="auto"/>
      </w:pPr>
      <w:r>
        <w:t>Lines 5452-5560 (</w:t>
      </w:r>
      <w:r w:rsidRPr="005C0B59">
        <w:t>Non-exchange Revenue:  Transfers and Subsidies - Operational:  Monetary Allocations - Provincial Departments</w:t>
      </w:r>
      <w:r>
        <w:t>)</w:t>
      </w:r>
    </w:p>
    <w:p w:rsidR="005C0B59" w:rsidRDefault="00237371" w:rsidP="00E81864">
      <w:pPr>
        <w:pStyle w:val="ListParagraph"/>
        <w:numPr>
          <w:ilvl w:val="0"/>
          <w:numId w:val="4"/>
        </w:numPr>
        <w:spacing w:line="360" w:lineRule="auto"/>
      </w:pPr>
      <w:r>
        <w:t xml:space="preserve">Exactly the same phenomena </w:t>
      </w:r>
      <w:r w:rsidR="00CD7D61">
        <w:t xml:space="preserve">repeats itself </w:t>
      </w:r>
      <w:r>
        <w:t xml:space="preserve">in the Item Expenditure </w:t>
      </w:r>
      <w:r w:rsidR="00CD7D61">
        <w:t>wi</w:t>
      </w:r>
      <w:r>
        <w:t xml:space="preserve">th 5176 or 91% of the Expenditure accounts relating to Transfers &amp; Subsidies and only 552 or 9% to </w:t>
      </w:r>
      <w:r w:rsidR="005A2DB2">
        <w:t>the</w:t>
      </w:r>
      <w:r>
        <w:t xml:space="preserve"> </w:t>
      </w:r>
      <w:r w:rsidR="005A2DB2">
        <w:t>core O</w:t>
      </w:r>
      <w:r w:rsidR="006875D6">
        <w:t xml:space="preserve">perational </w:t>
      </w:r>
      <w:r>
        <w:t>Expenditure classifications.</w:t>
      </w:r>
      <w:r w:rsidR="00CD7D61">
        <w:t xml:space="preserve"> The repetition of accounts are roughly of the same magnitude as found in the Item Revenue.</w:t>
      </w:r>
    </w:p>
    <w:p w:rsidR="00237371" w:rsidRDefault="00237371" w:rsidP="00E81864">
      <w:pPr>
        <w:spacing w:line="360" w:lineRule="auto"/>
      </w:pPr>
      <w:r>
        <w:t xml:space="preserve">We believe that the </w:t>
      </w:r>
      <w:r w:rsidR="004A05B8">
        <w:t>number of accounts in the S</w:t>
      </w:r>
      <w:r>
        <w:t xml:space="preserve">tatement of Financial Position and the Statement of Financial Performance </w:t>
      </w:r>
      <w:r w:rsidR="004A05B8">
        <w:t xml:space="preserve">can be significantly reduced without any negative impact on the SCOA reporting </w:t>
      </w:r>
      <w:r w:rsidR="000B226A">
        <w:t>objectives</w:t>
      </w:r>
      <w:r w:rsidR="004A05B8">
        <w:t>.</w:t>
      </w:r>
    </w:p>
    <w:p w:rsidR="004A05B8" w:rsidRDefault="005A2DB2" w:rsidP="00E81864">
      <w:pPr>
        <w:spacing w:line="360" w:lineRule="auto"/>
      </w:pPr>
      <w:r>
        <w:t xml:space="preserve">Par 20 of the SCOA Summary document </w:t>
      </w:r>
      <w:r w:rsidR="00CF2902">
        <w:t xml:space="preserve">(Aug 2014) </w:t>
      </w:r>
      <w:r>
        <w:t xml:space="preserve">clearly states </w:t>
      </w:r>
      <w:r w:rsidR="00CF2902">
        <w:t>that the development of this framework must give recognition to international standards, guidance and best practices. In this regard w</w:t>
      </w:r>
      <w:r w:rsidR="004A05B8">
        <w:t xml:space="preserve">e believe that SCOA must diligently align itself with best practice in accounting standards </w:t>
      </w:r>
      <w:r w:rsidR="00CF2902">
        <w:t xml:space="preserve">with </w:t>
      </w:r>
      <w:r w:rsidR="004A05B8">
        <w:t xml:space="preserve">regard </w:t>
      </w:r>
      <w:r w:rsidR="00CF2902">
        <w:t xml:space="preserve">to </w:t>
      </w:r>
      <w:r w:rsidR="004C0341">
        <w:t>the concept of</w:t>
      </w:r>
      <w:r w:rsidR="00CF2902">
        <w:t xml:space="preserve"> GL accounts for </w:t>
      </w:r>
      <w:r w:rsidR="004A05B8">
        <w:t xml:space="preserve">Opening &amp; Closing Balances </w:t>
      </w:r>
      <w:r w:rsidR="00CF2902">
        <w:t>in the Statement of Financial Position</w:t>
      </w:r>
      <w:r w:rsidR="004A05B8">
        <w:t xml:space="preserve">. </w:t>
      </w:r>
    </w:p>
    <w:sectPr w:rsidR="004A05B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262" w:rsidRDefault="00F31262" w:rsidP="00843214">
      <w:pPr>
        <w:spacing w:after="0" w:line="240" w:lineRule="auto"/>
      </w:pPr>
      <w:r>
        <w:separator/>
      </w:r>
    </w:p>
  </w:endnote>
  <w:endnote w:type="continuationSeparator" w:id="0">
    <w:p w:rsidR="00F31262" w:rsidRDefault="00F31262" w:rsidP="0084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306778"/>
      <w:docPartObj>
        <w:docPartGallery w:val="Page Numbers (Bottom of Page)"/>
        <w:docPartUnique/>
      </w:docPartObj>
    </w:sdtPr>
    <w:sdtEndPr/>
    <w:sdtContent>
      <w:sdt>
        <w:sdtPr>
          <w:id w:val="1728636285"/>
          <w:docPartObj>
            <w:docPartGallery w:val="Page Numbers (Top of Page)"/>
            <w:docPartUnique/>
          </w:docPartObj>
        </w:sdtPr>
        <w:sdtEndPr/>
        <w:sdtContent>
          <w:p w:rsidR="00843214" w:rsidRDefault="008432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033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0339">
              <w:rPr>
                <w:b/>
                <w:bCs/>
                <w:noProof/>
              </w:rPr>
              <w:t>10</w:t>
            </w:r>
            <w:r>
              <w:rPr>
                <w:b/>
                <w:bCs/>
                <w:sz w:val="24"/>
                <w:szCs w:val="24"/>
              </w:rPr>
              <w:fldChar w:fldCharType="end"/>
            </w:r>
          </w:p>
        </w:sdtContent>
      </w:sdt>
    </w:sdtContent>
  </w:sdt>
  <w:p w:rsidR="00843214" w:rsidRDefault="00843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262" w:rsidRDefault="00F31262" w:rsidP="00843214">
      <w:pPr>
        <w:spacing w:after="0" w:line="240" w:lineRule="auto"/>
      </w:pPr>
      <w:r>
        <w:separator/>
      </w:r>
    </w:p>
  </w:footnote>
  <w:footnote w:type="continuationSeparator" w:id="0">
    <w:p w:rsidR="00F31262" w:rsidRDefault="00F31262" w:rsidP="00843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3FE3"/>
    <w:multiLevelType w:val="hybridMultilevel"/>
    <w:tmpl w:val="80C23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A4ACFB4">
      <w:numFmt w:val="bullet"/>
      <w:lvlText w:val="-"/>
      <w:lvlJc w:val="left"/>
      <w:pPr>
        <w:ind w:left="2520" w:hanging="360"/>
      </w:pPr>
      <w:rPr>
        <w:rFonts w:ascii="Calibri" w:eastAsiaTheme="minorHAnsi" w:hAnsi="Calibri" w:cstheme="minorBid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037DCF"/>
    <w:multiLevelType w:val="hybridMultilevel"/>
    <w:tmpl w:val="6336A97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nsid w:val="253800E8"/>
    <w:multiLevelType w:val="hybridMultilevel"/>
    <w:tmpl w:val="DF32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40E6B"/>
    <w:multiLevelType w:val="hybridMultilevel"/>
    <w:tmpl w:val="C812EB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353C7427"/>
    <w:multiLevelType w:val="hybridMultilevel"/>
    <w:tmpl w:val="AF164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54C88"/>
    <w:multiLevelType w:val="hybridMultilevel"/>
    <w:tmpl w:val="38B4D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B7544"/>
    <w:multiLevelType w:val="hybridMultilevel"/>
    <w:tmpl w:val="F5E4D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D19BA"/>
    <w:multiLevelType w:val="hybridMultilevel"/>
    <w:tmpl w:val="51102AF0"/>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531F1823"/>
    <w:multiLevelType w:val="hybridMultilevel"/>
    <w:tmpl w:val="04D00C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94D02"/>
    <w:multiLevelType w:val="hybridMultilevel"/>
    <w:tmpl w:val="DE1A3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A3"/>
    <w:rsid w:val="00013F5A"/>
    <w:rsid w:val="000505EA"/>
    <w:rsid w:val="000B226A"/>
    <w:rsid w:val="00113959"/>
    <w:rsid w:val="001169F1"/>
    <w:rsid w:val="00124730"/>
    <w:rsid w:val="00134059"/>
    <w:rsid w:val="0013440A"/>
    <w:rsid w:val="00155AEC"/>
    <w:rsid w:val="001953A5"/>
    <w:rsid w:val="001A1181"/>
    <w:rsid w:val="001A6E38"/>
    <w:rsid w:val="001B27F2"/>
    <w:rsid w:val="00237371"/>
    <w:rsid w:val="002A3429"/>
    <w:rsid w:val="002B5600"/>
    <w:rsid w:val="002C64DD"/>
    <w:rsid w:val="0030016E"/>
    <w:rsid w:val="0030454E"/>
    <w:rsid w:val="00317C4C"/>
    <w:rsid w:val="00324D89"/>
    <w:rsid w:val="0033188A"/>
    <w:rsid w:val="00347CD8"/>
    <w:rsid w:val="003A06D2"/>
    <w:rsid w:val="003C691E"/>
    <w:rsid w:val="003F0134"/>
    <w:rsid w:val="00456CEA"/>
    <w:rsid w:val="004600AB"/>
    <w:rsid w:val="004601C1"/>
    <w:rsid w:val="004A05B8"/>
    <w:rsid w:val="004C0341"/>
    <w:rsid w:val="00522D5D"/>
    <w:rsid w:val="005314CA"/>
    <w:rsid w:val="00552CBF"/>
    <w:rsid w:val="005958BD"/>
    <w:rsid w:val="005A2DB2"/>
    <w:rsid w:val="005C0B59"/>
    <w:rsid w:val="005C1650"/>
    <w:rsid w:val="006145C9"/>
    <w:rsid w:val="0063647E"/>
    <w:rsid w:val="00654F22"/>
    <w:rsid w:val="006875D6"/>
    <w:rsid w:val="006A5112"/>
    <w:rsid w:val="006F2313"/>
    <w:rsid w:val="00710339"/>
    <w:rsid w:val="0071737B"/>
    <w:rsid w:val="007516CA"/>
    <w:rsid w:val="00752FDA"/>
    <w:rsid w:val="007665A3"/>
    <w:rsid w:val="007905C1"/>
    <w:rsid w:val="00796C30"/>
    <w:rsid w:val="007D6663"/>
    <w:rsid w:val="007E06E5"/>
    <w:rsid w:val="007E47DC"/>
    <w:rsid w:val="00843214"/>
    <w:rsid w:val="008B5B48"/>
    <w:rsid w:val="008B61EC"/>
    <w:rsid w:val="009C0D51"/>
    <w:rsid w:val="009C2011"/>
    <w:rsid w:val="009E55F1"/>
    <w:rsid w:val="009F3622"/>
    <w:rsid w:val="00A9157B"/>
    <w:rsid w:val="00A964AA"/>
    <w:rsid w:val="00AB31E1"/>
    <w:rsid w:val="00AD6911"/>
    <w:rsid w:val="00AE351C"/>
    <w:rsid w:val="00B23EED"/>
    <w:rsid w:val="00B85E12"/>
    <w:rsid w:val="00BB1AF9"/>
    <w:rsid w:val="00C1749E"/>
    <w:rsid w:val="00C179CA"/>
    <w:rsid w:val="00C364CD"/>
    <w:rsid w:val="00CD7D61"/>
    <w:rsid w:val="00CF2902"/>
    <w:rsid w:val="00D40512"/>
    <w:rsid w:val="00D45108"/>
    <w:rsid w:val="00D91CB7"/>
    <w:rsid w:val="00D97B18"/>
    <w:rsid w:val="00DA5362"/>
    <w:rsid w:val="00DE5ACA"/>
    <w:rsid w:val="00E004B3"/>
    <w:rsid w:val="00E62683"/>
    <w:rsid w:val="00E8012B"/>
    <w:rsid w:val="00E81864"/>
    <w:rsid w:val="00ED312C"/>
    <w:rsid w:val="00F012A9"/>
    <w:rsid w:val="00F214DD"/>
    <w:rsid w:val="00F31262"/>
    <w:rsid w:val="00FA1856"/>
    <w:rsid w:val="00FB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AF9"/>
    <w:pPr>
      <w:ind w:left="720"/>
      <w:contextualSpacing/>
    </w:pPr>
  </w:style>
  <w:style w:type="paragraph" w:styleId="Header">
    <w:name w:val="header"/>
    <w:basedOn w:val="Normal"/>
    <w:link w:val="HeaderChar"/>
    <w:uiPriority w:val="99"/>
    <w:unhideWhenUsed/>
    <w:rsid w:val="00843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214"/>
  </w:style>
  <w:style w:type="paragraph" w:styleId="Footer">
    <w:name w:val="footer"/>
    <w:basedOn w:val="Normal"/>
    <w:link w:val="FooterChar"/>
    <w:uiPriority w:val="99"/>
    <w:unhideWhenUsed/>
    <w:rsid w:val="00843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214"/>
  </w:style>
  <w:style w:type="paragraph" w:styleId="BalloonText">
    <w:name w:val="Balloon Text"/>
    <w:basedOn w:val="Normal"/>
    <w:link w:val="BalloonTextChar"/>
    <w:uiPriority w:val="99"/>
    <w:semiHidden/>
    <w:unhideWhenUsed/>
    <w:rsid w:val="00710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AF9"/>
    <w:pPr>
      <w:ind w:left="720"/>
      <w:contextualSpacing/>
    </w:pPr>
  </w:style>
  <w:style w:type="paragraph" w:styleId="Header">
    <w:name w:val="header"/>
    <w:basedOn w:val="Normal"/>
    <w:link w:val="HeaderChar"/>
    <w:uiPriority w:val="99"/>
    <w:unhideWhenUsed/>
    <w:rsid w:val="00843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214"/>
  </w:style>
  <w:style w:type="paragraph" w:styleId="Footer">
    <w:name w:val="footer"/>
    <w:basedOn w:val="Normal"/>
    <w:link w:val="FooterChar"/>
    <w:uiPriority w:val="99"/>
    <w:unhideWhenUsed/>
    <w:rsid w:val="00843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214"/>
  </w:style>
  <w:style w:type="paragraph" w:styleId="BalloonText">
    <w:name w:val="Balloon Text"/>
    <w:basedOn w:val="Normal"/>
    <w:link w:val="BalloonTextChar"/>
    <w:uiPriority w:val="99"/>
    <w:semiHidden/>
    <w:unhideWhenUsed/>
    <w:rsid w:val="00710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36658">
      <w:bodyDiv w:val="1"/>
      <w:marLeft w:val="0"/>
      <w:marRight w:val="0"/>
      <w:marTop w:val="0"/>
      <w:marBottom w:val="0"/>
      <w:divBdr>
        <w:top w:val="none" w:sz="0" w:space="0" w:color="auto"/>
        <w:left w:val="none" w:sz="0" w:space="0" w:color="auto"/>
        <w:bottom w:val="none" w:sz="0" w:space="0" w:color="auto"/>
        <w:right w:val="none" w:sz="0" w:space="0" w:color="auto"/>
      </w:divBdr>
    </w:div>
    <w:div w:id="1327320350">
      <w:bodyDiv w:val="1"/>
      <w:marLeft w:val="0"/>
      <w:marRight w:val="0"/>
      <w:marTop w:val="0"/>
      <w:marBottom w:val="0"/>
      <w:divBdr>
        <w:top w:val="none" w:sz="0" w:space="0" w:color="auto"/>
        <w:left w:val="none" w:sz="0" w:space="0" w:color="auto"/>
        <w:bottom w:val="none" w:sz="0" w:space="0" w:color="auto"/>
        <w:right w:val="none" w:sz="0" w:space="0" w:color="auto"/>
      </w:divBdr>
    </w:div>
    <w:div w:id="1478453850">
      <w:bodyDiv w:val="1"/>
      <w:marLeft w:val="0"/>
      <w:marRight w:val="0"/>
      <w:marTop w:val="0"/>
      <w:marBottom w:val="0"/>
      <w:divBdr>
        <w:top w:val="none" w:sz="0" w:space="0" w:color="auto"/>
        <w:left w:val="none" w:sz="0" w:space="0" w:color="auto"/>
        <w:bottom w:val="none" w:sz="0" w:space="0" w:color="auto"/>
        <w:right w:val="none" w:sz="0" w:space="0" w:color="auto"/>
      </w:divBdr>
    </w:div>
    <w:div w:id="17449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77BA75D44BC469ABAE46C07B5E9FF" ma:contentTypeVersion="1" ma:contentTypeDescription="Create a new document." ma:contentTypeScope="" ma:versionID="9b4f51526f4d882b0415eaade27f697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B5CCB2-4C7B-425F-B67B-A72711F1018F}"/>
</file>

<file path=customXml/itemProps2.xml><?xml version="1.0" encoding="utf-8"?>
<ds:datastoreItem xmlns:ds="http://schemas.openxmlformats.org/officeDocument/2006/customXml" ds:itemID="{80B635D8-F3ED-4917-9481-75432DB4FC40}"/>
</file>

<file path=customXml/itemProps3.xml><?xml version="1.0" encoding="utf-8"?>
<ds:datastoreItem xmlns:ds="http://schemas.openxmlformats.org/officeDocument/2006/customXml" ds:itemID="{F4E0D6B3-A60F-4577-9129-BA688DDB68DA}"/>
</file>

<file path=docProps/app.xml><?xml version="1.0" encoding="utf-8"?>
<Properties xmlns="http://schemas.openxmlformats.org/officeDocument/2006/extended-properties" xmlns:vt="http://schemas.openxmlformats.org/officeDocument/2006/docPropsVTypes">
  <Template>Normal</Template>
  <TotalTime>0</TotalTime>
  <Pages>10</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duplesd</dc:creator>
  <cp:lastModifiedBy>Trisja Weiss</cp:lastModifiedBy>
  <cp:revision>2</cp:revision>
  <dcterms:created xsi:type="dcterms:W3CDTF">2014-09-17T08:09:00Z</dcterms:created>
  <dcterms:modified xsi:type="dcterms:W3CDTF">2014-09-17T08:09:00Z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0x010100F6D77BA75D44BC469ABAE46C07B5E9FF</vt:lpwstr>
  </property>
</Properties>
</file>